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rtl w:val="0"/>
        </w:rPr>
        <w:t xml:space="preserve">Nutripausa en la Escuela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Director/a: </w:t>
      </w:r>
      <w:r w:rsidDel="00000000" w:rsidR="00000000" w:rsidRPr="00000000">
        <w:rPr>
          <w:rtl w:val="0"/>
        </w:rPr>
        <w:t xml:space="preserve">Melisa S. Simonella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Para la Licenciatura de Nutrición, contar con conocimientos básicos de nutrición en la infancia. Para la Licenciatura en Diseño de la Comunicación Visual, manejo de software de diseño.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Carrera: </w:t>
      </w:r>
      <w:r w:rsidDel="00000000" w:rsidR="00000000" w:rsidRPr="00000000">
        <w:rPr>
          <w:rtl w:val="0"/>
        </w:rPr>
        <w:t xml:space="preserve">Ser alumnos avanzados de la Licenciatura en Nutrición y la Licenciatura en Diseño de la Comunicación Visual. Alumnos cursando el 4to y/o 5to año de la carrera.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Diseño y elaboración del material didáctico a emplearse en talleres para niños - Dictado de talleres lúdicos para niños y teóricos para docentes de las Instituciones - Diseño y elaboración de un manual educativo para otorgar a la Institución para actividades posteriores por parte de las docentes. Dictado de talleres lúdicos educativos para niños y teóricos para docentes de las Instituciones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