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Remediación ambiental en base a la GIRSU en las localidades de Colonia San José y San Agustín, Provincia de Santa Fe.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 Luis Antonio Traba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rtl w:val="0"/>
        </w:rPr>
        <w:t xml:space="preserve"> FICH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El aspirante debe pertenecer a alguna de las siguientes carreras: Saneamiento Ambiental, Ingeniería Ambiental, Higiene y Seguridad, Ingeniería Química, Ingeniería Industrial, Diseño Industrial o Diseño Gráfico y de la Comunicación Visual y tener entre el 330% y el 50% de la carrera aprobada.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</w:t>
      </w:r>
      <w:r w:rsidDel="00000000" w:rsidR="00000000" w:rsidRPr="00000000">
        <w:rPr>
          <w:rtl w:val="0"/>
        </w:rPr>
        <w:t xml:space="preserve"> Capacitación básica en Gestión Integral en Residuos Sólidos Urbanos y en realización de Encuestas. Encuestas/entrevistas y talleres de concientización.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</w:t>
      </w:r>
      <w:r w:rsidDel="00000000" w:rsidR="00000000" w:rsidRPr="00000000">
        <w:rPr>
          <w:rtl w:val="0"/>
        </w:rPr>
        <w:t xml:space="preserve">: ¿Cómo se encuentra la Cooperativa? Generación y desarrollo de un manual de autodiagnóstico organizacional para Cooperativas de Trabajo.”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