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rtl w:val="0"/>
        </w:rPr>
        <w:t xml:space="preserve">Infancias diversas: creación colectiva de cuentos accesibles para el juego y la comunicación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Julia Benassi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FBCB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</w:t>
      </w:r>
      <w:r w:rsidDel="00000000" w:rsidR="00000000" w:rsidRPr="00000000">
        <w:rPr>
          <w:rtl w:val="0"/>
        </w:rPr>
        <w:t xml:space="preserve"> el aspirante debe pertenecer a la licenciatura en química, tener aprobado legislación ambiental.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Las actividades de capacitación serán abordadas a modo de seminarios y coloquios con las docentes de la cátedra "Legislación Ambiental", FIQ, UNL. Las actividades en territorio incluye la visita a diferentes Instituciones Educativas.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