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3.9199829101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2400512695312" w:right="0" w:firstLine="0"/>
        <w:jc w:val="left"/>
        <w:rPr>
          <w:b w:val="1"/>
          <w:bCs w:val="1"/>
          <w:color w:val="c54592"/>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2400512695312" w:right="0" w:firstLine="0"/>
        <w:jc w:val="left"/>
        <w:rPr>
          <w:b w:val="1"/>
          <w:bCs w:val="1"/>
          <w:color w:val="c54592"/>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2400512695312" w:right="0" w:firstLine="0"/>
        <w:jc w:val="left"/>
        <w:rPr>
          <w:rFonts w:ascii="Arial" w:cs="Arial" w:eastAsia="Arial" w:hAnsi="Arial"/>
          <w:b w:val="1"/>
          <w:bCs w:val="1"/>
          <w:i w:val="0"/>
          <w:iCs w:val="0"/>
          <w:smallCaps w:val="0"/>
          <w:strike w:val="0"/>
          <w:color w:val="c5459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c54592"/>
          <w:sz w:val="24"/>
          <w:szCs w:val="24"/>
          <w:u w:val="none"/>
          <w:shd w:fill="auto" w:val="clear"/>
          <w:vertAlign w:val="baseline"/>
          <w:rtl w:val="0"/>
        </w:rPr>
        <w:t xml:space="preserve">PLANTILLA MODELO PARA PRESENTACIÓN DE RESUMEN EXTENDIDO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8310546875" w:line="213.91483783721924" w:lineRule="auto"/>
        <w:ind w:left="1082.080078125" w:right="1338.4014892578125" w:firstLine="0"/>
        <w:jc w:val="center"/>
        <w:rPr>
          <w:rFonts w:ascii="Arial" w:cs="Arial" w:eastAsia="Arial" w:hAnsi="Arial"/>
          <w:b w:val="1"/>
          <w:bCs w:val="1"/>
          <w:i w:val="0"/>
          <w:iCs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SÁBALOS, VULNERABLES A LAS NANOPARTÍCULAS DE PLATA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Ale, Analia</w:t>
      </w:r>
      <w:r w:rsidDel="00000000" w:rsidR="00000000" w:rsidRPr="00000000">
        <w:rPr>
          <w:rFonts w:ascii="Arial" w:cs="Arial" w:eastAsia="Arial" w:hAnsi="Arial"/>
          <w:b w:val="1"/>
          <w:bCs w:val="1"/>
          <w:i w:val="0"/>
          <w:iCs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Apellido, Nombre</w:t>
      </w:r>
      <w:r w:rsidDel="00000000" w:rsidR="00000000" w:rsidRPr="00000000">
        <w:rPr>
          <w:rFonts w:ascii="Arial" w:cs="Arial" w:eastAsia="Arial" w:hAnsi="Arial"/>
          <w:b w:val="1"/>
          <w:bCs w:val="1"/>
          <w:i w:val="0"/>
          <w:iCs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Arial" w:cs="Arial" w:eastAsia="Arial" w:hAnsi="Arial"/>
          <w:b w:val="1"/>
          <w:bCs w:val="1"/>
          <w:i w:val="0"/>
          <w:iCs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46142578125"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Instituto Nacional de Limnología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INALI</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superscript"/>
          <w:rtl w:val="0"/>
        </w:rPr>
        <w:t xml:space="preserve">2</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Lugar de trabajo correspondiente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9.47998046875" w:firstLine="0"/>
        <w:jc w:val="righ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Director/a: Pérez, Martina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Codirector/a: Gonzales, María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40283203125"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54592"/>
          <w:sz w:val="18"/>
          <w:szCs w:val="18"/>
          <w:u w:val="none"/>
          <w:shd w:fill="auto" w:val="clear"/>
          <w:vertAlign w:val="baseline"/>
          <w:rtl w:val="0"/>
        </w:rPr>
        <w:t xml:space="preserve">Área: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Ciencias Biológicas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39453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Palabras claves: Sábalos, Investigación, Nanopartículas.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39453125" w:line="240" w:lineRule="auto"/>
        <w:ind w:left="0" w:right="0" w:firstLine="0"/>
        <w:jc w:val="center"/>
        <w:rPr>
          <w:sz w:val="22.079999923706055"/>
          <w:szCs w:val="22.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2939453125" w:line="240" w:lineRule="auto"/>
        <w:ind w:left="0" w:right="4018.3221435546875" w:firstLine="0"/>
        <w:jc w:val="right"/>
        <w:rPr>
          <w:rFonts w:ascii="Arial" w:cs="Arial" w:eastAsia="Arial" w:hAnsi="Arial"/>
          <w:b w:val="1"/>
          <w:bCs w:val="1"/>
          <w:i w:val="0"/>
          <w:iCs w:val="0"/>
          <w:smallCaps w:val="0"/>
          <w:strike w:val="0"/>
          <w:color w:val="c5459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c54592"/>
          <w:sz w:val="22.079999923706055"/>
          <w:szCs w:val="22.079999923706055"/>
          <w:u w:val="none"/>
          <w:shd w:fill="auto" w:val="clear"/>
          <w:vertAlign w:val="baseline"/>
          <w:rtl w:val="0"/>
        </w:rPr>
        <w:t xml:space="preserve">INTRODUCCIÓN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64892578125" w:line="228.89362335205078" w:lineRule="auto"/>
        <w:ind w:left="120.5279541015625" w:right="310.78125" w:firstLine="9.71527099609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El universo de lo que se vende como “antibacterial” parece no tener fin: jabones, desodorantes,  dentífricos, ropa y la lista continúa. La plata en partículas tamaño nano suele ser el factor  común en estos ítems ya que es una forma eficiente de aprovechar las propiedades  antimicrobianas de la plata con cantidades mínimas de metal. Sin embargo, más producción y  más consumo, también implica más partículas diminutas –de escala nanométrica- de plata  llegando al ambiente. Una investigación de la Universidad Nacional del Litoral (UNL) y el  Conicet indagó sobre sus efectos en sábalos y describió una variedad de impactos fisiológicos.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44189453125" w:line="240" w:lineRule="auto"/>
        <w:ind w:left="0" w:right="0" w:firstLine="0"/>
        <w:jc w:val="center"/>
        <w:rPr>
          <w:rFonts w:ascii="Arial" w:cs="Arial" w:eastAsia="Arial" w:hAnsi="Arial"/>
          <w:b w:val="1"/>
          <w:bCs w:val="1"/>
          <w:i w:val="0"/>
          <w:iCs w:val="0"/>
          <w:smallCaps w:val="0"/>
          <w:strike w:val="0"/>
          <w:color w:val="c5459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c54592"/>
          <w:sz w:val="22.079999923706055"/>
          <w:szCs w:val="22.079999923706055"/>
          <w:u w:val="none"/>
          <w:shd w:fill="auto" w:val="clear"/>
          <w:vertAlign w:val="baseline"/>
          <w:rtl w:val="0"/>
        </w:rPr>
        <w:t xml:space="preserve">OBJETIVOS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123046875" w:line="230.34306049346924" w:lineRule="auto"/>
        <w:ind w:left="847.5135803222656" w:right="316.87255859375" w:hanging="363.2319641113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Comprobar si el nanometal puede llegar a los cuerpos de agua a través de los efluentes  industriales y domiciliarios.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077880859375" w:line="240" w:lineRule="auto"/>
        <w:ind w:left="484.281616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Investigar los efectos significativos en los peces expuestos.</w:t>
      </w:r>
    </w:p>
    <w:tbl>
      <w:tblPr>
        <w:tblStyle w:val="Table1"/>
        <w:tblW w:w="9889.5205688476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9.520568847656"/>
        <w:tblGridChange w:id="0">
          <w:tblGrid>
            <w:gridCol w:w="9889.520568847656"/>
          </w:tblGrid>
        </w:tblGridChange>
      </w:tblGrid>
      <w:tr>
        <w:trPr>
          <w:cantSplit w:val="0"/>
          <w:trHeight w:val="1780.71868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28.16981315612793" w:lineRule="auto"/>
              <w:ind w:left="132.89276123046875" w:right="1202.7239990234375" w:hanging="17.00164794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Título del proyecto: SÁBALOS, VULNERABLES A LAS NANOPARTÍCULAS DE PLATA Instrumento: PICT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5.21026611328125" w:line="240" w:lineRule="auto"/>
              <w:ind w:left="115.89111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Año convocatoria: 20</w:t>
            </w:r>
            <w:r w:rsidDel="00000000" w:rsidR="00000000" w:rsidRPr="00000000">
              <w:rPr>
                <w:sz w:val="22.079999923706055"/>
                <w:szCs w:val="22.079999923706055"/>
                <w:rtl w:val="0"/>
              </w:rPr>
              <w:t xml:space="preserve">19</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Organismo financiador: CONICET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0.68481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Director/a: Pérez, Martina </w:t>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4.600830078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7.3550415039062" w:right="0" w:firstLine="0"/>
        <w:jc w:val="left"/>
        <w:rPr>
          <w:rFonts w:ascii="Arial" w:cs="Arial" w:eastAsia="Arial" w:hAnsi="Arial"/>
          <w:b w:val="1"/>
          <w:bCs w:val="1"/>
          <w:i w:val="0"/>
          <w:iCs w:val="0"/>
          <w:smallCaps w:val="0"/>
          <w:strike w:val="0"/>
          <w:color w:val="c5459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c54592"/>
          <w:sz w:val="22.079999923706055"/>
          <w:szCs w:val="22.079999923706055"/>
          <w:u w:val="none"/>
          <w:shd w:fill="auto" w:val="clear"/>
          <w:vertAlign w:val="baseline"/>
          <w:rtl w:val="0"/>
        </w:rPr>
        <w:t xml:space="preserve">METODOLOGÍA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28.89426708221436" w:lineRule="auto"/>
        <w:ind w:left="121.4111328125" w:right="310.445556640625" w:firstLine="0.4415893554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“Que cause daños neurológicos en los peces es una propiedad bastante nueva que no es  característica de la plata”, explicó la becaria de investigación del Instituto Nacional de  Limnología (INALI) dependiente de la UNL y el Conicet. “Se trata de propiedades intrínsecas  por la forma de nanopartículas” (Analía Ale, 20</w:t>
      </w:r>
      <w:r w:rsidDel="00000000" w:rsidR="00000000" w:rsidRPr="00000000">
        <w:rPr>
          <w:sz w:val="22.079999923706055"/>
          <w:szCs w:val="22.079999923706055"/>
          <w:rtl w:val="0"/>
        </w:rPr>
        <w:t xml:space="preserve">26</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44189453125" w:line="240" w:lineRule="auto"/>
        <w:ind w:left="129.580841064453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Efectos en los sábalos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29.39228534698486" w:lineRule="auto"/>
        <w:ind w:left="115.67031860351562" w:right="311.871337890625" w:firstLine="16.118469238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 la investigación se expusieron peces a diferentes concentraciones de nanopartículas de  plata en el agua, en dos lapsos de tiempo. Como ocurre con los metales, la plata no se degrada  sino que se bioacumula y por ello es posible encontrarla en los órganos a los que llega. “El  hígado es el órgano target donde más efectos tóxicos vemos, pero también los vimos en una  variedad de órganos, hasta el cerebro”, destacó.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9140625" w:line="229.61797714233398" w:lineRule="auto"/>
        <w:ind w:left="119.86557006835938" w:right="311.34765625" w:firstLine="10.37765502929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 efecto que pudieron observar -y el más conocido de este tipo de partículas- es el estrés  oxidativo. También, al analizar las branquias se evidenciaron alteraciones en el tejido. “Este  daño histológico ya no es una alerta temprana, sino que indica un nivel de daño más severo”,  señaló Ale. </w:t>
      </w:r>
      <w:r w:rsidDel="00000000" w:rsidR="00000000" w:rsidRPr="00000000">
        <w:drawing>
          <wp:anchor allowOverlap="1" behindDoc="0" distB="19050" distT="19050" distL="19050" distR="19050" hidden="0" layoutInCell="1" locked="0" relativeHeight="0" simplePos="0">
            <wp:simplePos x="0" y="0"/>
            <wp:positionH relativeFrom="column">
              <wp:posOffset>2163480</wp:posOffset>
            </wp:positionH>
            <wp:positionV relativeFrom="paragraph">
              <wp:posOffset>527812</wp:posOffset>
            </wp:positionV>
            <wp:extent cx="3945890" cy="2951480"/>
            <wp:effectExtent b="0" l="0" r="0" t="0"/>
            <wp:wrapSquare wrapText="left"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45890" cy="2951480"/>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77685546875"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Finalmente, se evaluó el efecto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que la nanoplata y sus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063842773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propiedades antibióticas tiene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655700683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sobre la mucosa que recubre 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9353637695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los peces y cuyas bacterias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74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actúan como una primera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1947021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barrera de defensa. “En los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063842773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peces expuestos a las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1947021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nanopartículas de plata las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81433105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unidades formadoras de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3192749023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colonias bacterianas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disminuyeron drásticamente, lo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que genera situaciones 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6634521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vulnerabilidad y afecta la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calidad de vida de los peces”,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9353637695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indicó.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669677734375" w:line="240" w:lineRule="auto"/>
        <w:ind w:left="458.399810791015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Figura 1: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Equipo de trabajo del INALI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40" w:lineRule="auto"/>
        <w:ind w:left="0" w:right="0" w:firstLine="0"/>
        <w:jc w:val="center"/>
        <w:rPr>
          <w:rFonts w:ascii="Arial" w:cs="Arial" w:eastAsia="Arial" w:hAnsi="Arial"/>
          <w:b w:val="1"/>
          <w:bCs w:val="1"/>
          <w:i w:val="0"/>
          <w:iCs w:val="0"/>
          <w:smallCaps w:val="0"/>
          <w:strike w:val="0"/>
          <w:color w:val="c5459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c54592"/>
          <w:sz w:val="22.079999923706055"/>
          <w:szCs w:val="22.079999923706055"/>
          <w:u w:val="none"/>
          <w:shd w:fill="auto" w:val="clear"/>
          <w:vertAlign w:val="baseline"/>
          <w:rtl w:val="0"/>
        </w:rPr>
        <w:t xml:space="preserve">CONCLUSIONES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701416015625" w:line="229.07512664794922" w:lineRule="auto"/>
        <w:ind w:left="121.63192749023438" w:right="314.27734375" w:firstLine="7.9489135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 investigación se realizó en sábalos, esta especie nativa mostró ser muy sensible a las  nanopartículas de plata. “Nos gusta comparar las especies, sobre todo en nuestro sistema que  es tan rico en peces, y aunque sea un problema mundial, hay poca información que incluye  nuestras especies nativas”, contó Ale.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734375" w:line="228.6946964263916" w:lineRule="auto"/>
        <w:ind w:left="120.5279541015625" w:right="310.550537109375" w:firstLine="9.052886962890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 investigación en peces conjuga dos aspectos de interés, por un lado es un recurso  alimenticio y por otro, colabora con el monitoreo del ambiente ya que son bioindicadores  epresentativos del estrés ambiental. “El pez reacciona rápidamente, mucho antes que un  organismo de mayor porte demuestre efectos. Estas especies test permiten una alerta temprana  que se puede extrapolar a otros organismos más resistentes o más robustos”, detalló.</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0716552734375" w:line="240" w:lineRule="auto"/>
        <w:ind w:left="0" w:right="1664.60083007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45304870605" w:lineRule="auto"/>
        <w:ind w:left="112.79998779296875" w:right="312.87841796875" w:firstLine="18.988800048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Entender que los productos con nanoplata no son inocuos para el ambiente y apelar a un  consumo responsable parece ser la premisa ante estos resultados. “Hay que tomar conciencia  del impacto ambiental de las decisiones y acciones cotidianas”, subrayó Ale. A esto se suma que las nanopartículas de plata, al igual que todo lo “nano”, no tiene una  regulación específica. “Se busca generar conciencia en las autoridades de regulación para  establecer por lo menos límites de exposición a través de diferentes medidas estandarizadas”,  concluyó.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44189453125" w:line="240" w:lineRule="auto"/>
        <w:ind w:left="0" w:right="0" w:firstLine="0"/>
        <w:jc w:val="center"/>
        <w:rPr>
          <w:rFonts w:ascii="Arial" w:cs="Arial" w:eastAsia="Arial" w:hAnsi="Arial"/>
          <w:b w:val="1"/>
          <w:bCs w:val="1"/>
          <w:i w:val="0"/>
          <w:iCs w:val="0"/>
          <w:smallCaps w:val="0"/>
          <w:strike w:val="0"/>
          <w:color w:val="c5459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c54592"/>
          <w:sz w:val="22.079999923706055"/>
          <w:szCs w:val="22.079999923706055"/>
          <w:u w:val="none"/>
          <w:shd w:fill="auto" w:val="clear"/>
          <w:vertAlign w:val="baseline"/>
          <w:rtl w:val="0"/>
        </w:rPr>
        <w:t xml:space="preserve">BIBLIOGRAFÍA BÁSICA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33.64123344421387" w:lineRule="auto"/>
        <w:ind w:left="129.93118286132812" w:right="325.018310546875" w:hanging="1.9920349121093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Barrero Ripoll, A.</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2006. Generación de Nanopartículas de Estructura Compleja por Medios  Electrohidrodinámicos. Editorial Universidad De Sevilla-Secretariado De Publicaciones, España.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2.211303710938" w:line="240" w:lineRule="auto"/>
        <w:ind w:left="0" w:right="1664.600830078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283.46456692913387" w:top="924.0944881889765" w:left="1303.9370078740158" w:right="1043.149606299212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drawing>
        <wp:inline distB="114300" distT="114300" distL="114300" distR="114300">
          <wp:extent cx="6279846" cy="9398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79846" cy="9398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hd w:fill="ffffff" w:val="clear"/>
      <w:rPr>
        <w:rFonts w:ascii="Lato" w:cs="Lato" w:eastAsia="Lato" w:hAnsi="Lato"/>
        <w:color w:val="222222"/>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4381500</wp:posOffset>
          </wp:positionH>
          <wp:positionV relativeFrom="paragraph">
            <wp:posOffset>142875</wp:posOffset>
          </wp:positionV>
          <wp:extent cx="1963990" cy="904875"/>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63990" cy="904875"/>
                  </a:xfrm>
                  <a:prstGeom prst="rect"/>
                  <a:ln/>
                </pic:spPr>
              </pic:pic>
            </a:graphicData>
          </a:graphic>
        </wp:anchor>
      </w:drawing>
    </w:r>
  </w:p>
  <w:p w:rsidR="00000000" w:rsidDel="00000000" w:rsidP="00000000" w:rsidRDefault="00000000" w:rsidRPr="00000000" w14:paraId="00000038">
    <w:pPr>
      <w:shd w:fill="ffffff" w:val="clear"/>
      <w:rPr>
        <w:rFonts w:ascii="Lato" w:cs="Lato" w:eastAsia="Lato" w:hAnsi="Lato"/>
        <w:color w:val="222222"/>
        <w:sz w:val="16"/>
        <w:szCs w:val="16"/>
      </w:rPr>
    </w:pPr>
    <w:r w:rsidDel="00000000" w:rsidR="00000000" w:rsidRPr="00000000">
      <w:rPr>
        <w:rtl w:val="0"/>
      </w:rPr>
    </w:r>
  </w:p>
  <w:p w:rsidR="00000000" w:rsidDel="00000000" w:rsidP="00000000" w:rsidRDefault="00000000" w:rsidRPr="00000000" w14:paraId="00000039">
    <w:pPr>
      <w:shd w:fill="ffffff" w:val="clear"/>
      <w:rPr>
        <w:rFonts w:ascii="Lato" w:cs="Lato" w:eastAsia="Lato" w:hAnsi="Lato"/>
        <w:color w:val="002863"/>
        <w:sz w:val="16"/>
        <w:szCs w:val="16"/>
      </w:rPr>
    </w:pPr>
    <w:r w:rsidDel="00000000" w:rsidR="00000000" w:rsidRPr="00000000">
      <w:rPr>
        <w:rtl w:val="0"/>
      </w:rPr>
    </w:r>
  </w:p>
  <w:p w:rsidR="00000000" w:rsidDel="00000000" w:rsidP="00000000" w:rsidRDefault="00000000" w:rsidRPr="00000000" w14:paraId="0000003A">
    <w:pPr>
      <w:shd w:fill="ffffff" w:val="clear"/>
      <w:rPr>
        <w:rFonts w:ascii="Lato" w:cs="Lato" w:eastAsia="Lato" w:hAnsi="Lato"/>
        <w:b w:val="1"/>
        <w:bCs w:val="1"/>
        <w:color w:val="002863"/>
        <w:sz w:val="14"/>
        <w:szCs w:val="14"/>
      </w:rPr>
    </w:pPr>
    <w:r w:rsidDel="00000000" w:rsidR="00000000" w:rsidRPr="00000000">
      <w:rPr>
        <w:rtl w:val="0"/>
      </w:rPr>
    </w:r>
  </w:p>
  <w:p w:rsidR="00000000" w:rsidDel="00000000" w:rsidP="00000000" w:rsidRDefault="00000000" w:rsidRPr="00000000" w14:paraId="0000003B">
    <w:pPr>
      <w:shd w:fill="ffffff" w:val="clear"/>
      <w:rPr>
        <w:rFonts w:ascii="Lato" w:cs="Lato" w:eastAsia="Lato" w:hAnsi="Lato"/>
        <w:b w:val="1"/>
        <w:bCs w:val="1"/>
        <w:color w:val="002863"/>
        <w:sz w:val="16"/>
        <w:szCs w:val="16"/>
      </w:rPr>
    </w:pPr>
    <w:r w:rsidDel="00000000" w:rsidR="00000000" w:rsidRPr="00000000">
      <w:rPr>
        <w:rFonts w:ascii="Lato" w:cs="Lato" w:eastAsia="Lato" w:hAnsi="Lato"/>
        <w:b w:val="1"/>
        <w:bCs w:val="1"/>
        <w:color w:val="002863"/>
        <w:sz w:val="16"/>
        <w:szCs w:val="16"/>
        <w:rtl w:val="0"/>
      </w:rPr>
      <w:t xml:space="preserve">XXVIII Encuentro de Jóvenes Jóvenes Investigadores</w:t>
    </w:r>
  </w:p>
  <w:p w:rsidR="00000000" w:rsidDel="00000000" w:rsidP="00000000" w:rsidRDefault="00000000" w:rsidRPr="00000000" w14:paraId="0000003C">
    <w:pPr>
      <w:shd w:fill="ffffff" w:val="clear"/>
      <w:rPr>
        <w:rFonts w:ascii="Lato" w:cs="Lato" w:eastAsia="Lato" w:hAnsi="Lato"/>
        <w:color w:val="002863"/>
        <w:sz w:val="16"/>
        <w:szCs w:val="16"/>
      </w:rPr>
    </w:pPr>
    <w:r w:rsidDel="00000000" w:rsidR="00000000" w:rsidRPr="00000000">
      <w:rPr>
        <w:rFonts w:ascii="Lato" w:cs="Lato" w:eastAsia="Lato" w:hAnsi="Lato"/>
        <w:color w:val="002863"/>
        <w:sz w:val="16"/>
        <w:szCs w:val="16"/>
        <w:rtl w:val="0"/>
      </w:rPr>
      <w:t xml:space="preserve">10  al 13  de noviembre  de 2026 | Santa Fe Argentina</w:t>
    </w:r>
  </w:p>
  <w:p w:rsidR="00000000" w:rsidDel="00000000" w:rsidP="00000000" w:rsidRDefault="00000000" w:rsidRPr="00000000" w14:paraId="0000003D">
    <w:pPr>
      <w:shd w:fill="ffffff" w:val="clear"/>
      <w:rPr>
        <w:rFonts w:ascii="Lato" w:cs="Lato" w:eastAsia="Lato" w:hAnsi="Lato"/>
        <w:color w:val="002863"/>
        <w:sz w:val="14"/>
        <w:szCs w:val="14"/>
      </w:rPr>
    </w:pPr>
    <w:r w:rsidDel="00000000" w:rsidR="00000000" w:rsidRPr="00000000">
      <w:rPr>
        <w:rtl w:val="0"/>
      </w:rPr>
    </w:r>
  </w:p>
  <w:p w:rsidR="00000000" w:rsidDel="00000000" w:rsidP="00000000" w:rsidRDefault="00000000" w:rsidRPr="00000000" w14:paraId="0000003E">
    <w:pPr>
      <w:shd w:fill="ffffff" w:val="clear"/>
      <w:rPr>
        <w:rFonts w:ascii="Lato" w:cs="Lato" w:eastAsia="Lato" w:hAnsi="Lato"/>
        <w:color w:val="002863"/>
        <w:sz w:val="14"/>
        <w:szCs w:val="1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