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43.91998291015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2400512695312" w:right="0" w:firstLine="0"/>
        <w:jc w:val="left"/>
        <w:rPr>
          <w:b w:val="1"/>
          <w:color w:val="c54592"/>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2400512695312" w:right="0" w:firstLine="0"/>
        <w:jc w:val="left"/>
        <w:rPr>
          <w:b w:val="1"/>
          <w:color w:val="c54592"/>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2400512695312" w:right="0" w:firstLine="0"/>
        <w:jc w:val="left"/>
        <w:rPr>
          <w:rFonts w:ascii="Arial" w:cs="Arial" w:eastAsia="Arial" w:hAnsi="Arial"/>
          <w:b w:val="1"/>
          <w:i w:val="0"/>
          <w:smallCaps w:val="0"/>
          <w:strike w:val="0"/>
          <w:color w:val="c54592"/>
          <w:sz w:val="24"/>
          <w:szCs w:val="24"/>
          <w:u w:val="none"/>
          <w:shd w:fill="auto" w:val="clear"/>
          <w:vertAlign w:val="baseline"/>
        </w:rPr>
      </w:pPr>
      <w:r w:rsidDel="00000000" w:rsidR="00000000" w:rsidRPr="00000000">
        <w:rPr>
          <w:rFonts w:ascii="Arial" w:cs="Arial" w:eastAsia="Arial" w:hAnsi="Arial"/>
          <w:b w:val="1"/>
          <w:i w:val="0"/>
          <w:smallCaps w:val="0"/>
          <w:strike w:val="0"/>
          <w:color w:val="c54592"/>
          <w:sz w:val="24"/>
          <w:szCs w:val="24"/>
          <w:u w:val="none"/>
          <w:shd w:fill="auto" w:val="clear"/>
          <w:vertAlign w:val="baseline"/>
          <w:rtl w:val="0"/>
        </w:rPr>
        <w:t xml:space="preserve">PLANTILLA MODELO PARA PRESENTACIÓN DE RESUMEN EXTENDIDO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18310546875" w:line="213.91483783721924" w:lineRule="auto"/>
        <w:ind w:left="1082.080078125" w:right="1338.4014892578125" w:firstLine="0"/>
        <w:jc w:val="center"/>
        <w:rPr>
          <w:rFonts w:ascii="Arial" w:cs="Arial" w:eastAsia="Arial" w:hAnsi="Arial"/>
          <w:b w:val="1"/>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SÁBALOS, VULNERABLES A LAS NANOPARTÍCULAS DE PLATA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Ale, Analia</w:t>
      </w:r>
      <w:r w:rsidDel="00000000" w:rsidR="00000000" w:rsidRPr="00000000">
        <w:rPr>
          <w:rFonts w:ascii="Arial" w:cs="Arial" w:eastAsia="Arial" w:hAnsi="Arial"/>
          <w:b w:val="1"/>
          <w:i w:val="0"/>
          <w:smallCaps w:val="0"/>
          <w:strike w:val="0"/>
          <w:color w:val="000000"/>
          <w:sz w:val="23.200000127156578"/>
          <w:szCs w:val="23.200000127156578"/>
          <w:u w:val="none"/>
          <w:shd w:fill="auto" w:val="clear"/>
          <w:vertAlign w:val="superscript"/>
          <w:rtl w:val="0"/>
        </w:rPr>
        <w:t xml:space="preserve">1</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Apellido, Nombre</w:t>
      </w:r>
      <w:r w:rsidDel="00000000" w:rsidR="00000000" w:rsidRPr="00000000">
        <w:rPr>
          <w:rFonts w:ascii="Arial" w:cs="Arial" w:eastAsia="Arial" w:hAnsi="Arial"/>
          <w:b w:val="1"/>
          <w:i w:val="0"/>
          <w:smallCaps w:val="0"/>
          <w:strike w:val="0"/>
          <w:color w:val="000000"/>
          <w:sz w:val="23.200000127156578"/>
          <w:szCs w:val="23.200000127156578"/>
          <w:u w:val="none"/>
          <w:shd w:fill="auto" w:val="clear"/>
          <w:vertAlign w:val="superscript"/>
          <w:rtl w:val="0"/>
        </w:rPr>
        <w:t xml:space="preserve">2</w:t>
      </w:r>
      <w:r w:rsidDel="00000000" w:rsidR="00000000" w:rsidRPr="00000000">
        <w:rPr>
          <w:rFonts w:ascii="Arial" w:cs="Arial" w:eastAsia="Arial" w:hAnsi="Arial"/>
          <w:b w:val="1"/>
          <w:i w:val="0"/>
          <w:smallCaps w:val="0"/>
          <w:strike w:val="0"/>
          <w:color w:val="000000"/>
          <w:sz w:val="13.920000076293945"/>
          <w:szCs w:val="13.920000076293945"/>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6046142578125" w:line="240" w:lineRule="auto"/>
        <w:ind w:left="0" w:right="0"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Instituto Nacional de Limnología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INALI</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-UNL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Lugar de trabajo correspondiente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59.47998046875" w:firstLine="0"/>
        <w:jc w:val="righ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Director/a: Pérez, Martina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Codirector/a: Gonzales, María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540283203125"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c54592"/>
          <w:sz w:val="18"/>
          <w:szCs w:val="18"/>
          <w:u w:val="none"/>
          <w:shd w:fill="auto" w:val="clear"/>
          <w:vertAlign w:val="baseline"/>
          <w:rtl w:val="0"/>
        </w:rPr>
        <w:t xml:space="preserve">Área: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Biológicas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3945312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Palabras claves: Sábalos, Investigación, Nanopartículas.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39453125" w:line="240" w:lineRule="auto"/>
        <w:ind w:left="0" w:right="0" w:firstLine="0"/>
        <w:jc w:val="center"/>
        <w:rPr>
          <w:sz w:val="22.079999923706055"/>
          <w:szCs w:val="22.079999923706055"/>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2939453125" w:line="240" w:lineRule="auto"/>
        <w:ind w:left="0" w:right="4018.3221435546875" w:firstLine="0"/>
        <w:jc w:val="right"/>
        <w:rPr>
          <w:rFonts w:ascii="Arial" w:cs="Arial" w:eastAsia="Arial" w:hAnsi="Arial"/>
          <w:b w:val="1"/>
          <w:i w:val="0"/>
          <w:smallCaps w:val="0"/>
          <w:strike w:val="0"/>
          <w:color w:val="c54592"/>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c54592"/>
          <w:sz w:val="22.079999923706055"/>
          <w:szCs w:val="22.079999923706055"/>
          <w:u w:val="none"/>
          <w:shd w:fill="auto" w:val="clear"/>
          <w:vertAlign w:val="baseline"/>
          <w:rtl w:val="0"/>
        </w:rPr>
        <w:t xml:space="preserve">INTRODUCCIÓN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5264892578125" w:line="228.89362335205078" w:lineRule="auto"/>
        <w:ind w:left="120.5279541015625" w:right="310.78125" w:firstLine="9.71527099609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El universo de lo que se vende como “antibacterial” parece no tener fin: jabones, desodorantes,  dentífricos, ropa y la lista continúa. La plata en partículas tamaño nano suele ser el factor  común en estos ítems ya que es una forma eficiente de aprovechar las propiedades  antimicrobianas de la plata con cantidades mínimas de metal. Sin embargo, más producción y  más consumo, también implica más partículas diminutas –de escala nanométrica- de plata  llegando al ambiente. Una investigación de la Universidad Nacional del Litoral (UNL) y el  Conicet indagó sobre sus efectos en sábalos y describió una variedad de impactos fisiológicos.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544189453125" w:line="240" w:lineRule="auto"/>
        <w:ind w:left="0" w:right="0" w:firstLine="0"/>
        <w:jc w:val="center"/>
        <w:rPr>
          <w:rFonts w:ascii="Arial" w:cs="Arial" w:eastAsia="Arial" w:hAnsi="Arial"/>
          <w:b w:val="1"/>
          <w:i w:val="0"/>
          <w:smallCaps w:val="0"/>
          <w:strike w:val="0"/>
          <w:color w:val="c54592"/>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c54592"/>
          <w:sz w:val="22.079999923706055"/>
          <w:szCs w:val="22.079999923706055"/>
          <w:u w:val="none"/>
          <w:shd w:fill="auto" w:val="clear"/>
          <w:vertAlign w:val="baseline"/>
          <w:rtl w:val="0"/>
        </w:rPr>
        <w:t xml:space="preserve">OBJETIVOS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26123046875" w:line="230.34306049346924" w:lineRule="auto"/>
        <w:ind w:left="847.5135803222656" w:right="316.87255859375" w:hanging="363.2319641113281"/>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Comprobar si el nanometal puede llegar a los cuerpos de agua a través de los efluentes  industriales y domiciliarios.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077880859375" w:line="240" w:lineRule="auto"/>
        <w:ind w:left="484.281616210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Investigar los efectos significativos en los peces expuestos.</w:t>
      </w:r>
    </w:p>
    <w:tbl>
      <w:tblPr>
        <w:tblStyle w:val="Table1"/>
        <w:tblW w:w="9889.5205688476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89.520568847656"/>
        <w:tblGridChange w:id="0">
          <w:tblGrid>
            <w:gridCol w:w="9889.520568847656"/>
          </w:tblGrid>
        </w:tblGridChange>
      </w:tblGrid>
      <w:tr>
        <w:trPr>
          <w:cantSplit w:val="0"/>
          <w:trHeight w:val="1780.71868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28.16981315612793" w:lineRule="auto"/>
              <w:ind w:left="132.89276123046875" w:right="1202.7239990234375" w:hanging="17.001647949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Título del proyecto: SÁBALOS, VULNERABLES A LAS NANOPARTÍCULAS DE PLATA Instrumento: PICT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5.21026611328125" w:line="240" w:lineRule="auto"/>
              <w:ind w:left="115.8911132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Año convocatoria: 2019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411132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Organismo financiador: CONICET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6848144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Director/a: Pérez, Martina </w:t>
            </w:r>
          </w:p>
        </w:tc>
      </w:tr>
    </w:tbl>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64.6008300781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97.3550415039062" w:right="0" w:firstLine="0"/>
        <w:jc w:val="left"/>
        <w:rPr>
          <w:rFonts w:ascii="Arial" w:cs="Arial" w:eastAsia="Arial" w:hAnsi="Arial"/>
          <w:b w:val="1"/>
          <w:i w:val="0"/>
          <w:smallCaps w:val="0"/>
          <w:strike w:val="0"/>
          <w:color w:val="c54592"/>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c54592"/>
          <w:sz w:val="22.079999923706055"/>
          <w:szCs w:val="22.079999923706055"/>
          <w:u w:val="none"/>
          <w:shd w:fill="auto" w:val="clear"/>
          <w:vertAlign w:val="baseline"/>
          <w:rtl w:val="0"/>
        </w:rPr>
        <w:t xml:space="preserve">METODOLOGÍA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28.89426708221436" w:lineRule="auto"/>
        <w:ind w:left="121.4111328125" w:right="310.445556640625" w:firstLine="0.4415893554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“Que cause daños neurológicos en los peces es una propiedad bastante nueva que no es  característica de la plata”, explicó la becaria de investigación del Instituto Nacional de  Limnología (INALI) dependiente de la UNL y el Conicet. “Se trata de propiedades intrínsecas  por la forma de nanopartículas” (Analía Ale, 2019).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544189453125" w:line="240" w:lineRule="auto"/>
        <w:ind w:left="129.5808410644531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Efectos en los sábalos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29.39228534698486" w:lineRule="auto"/>
        <w:ind w:left="115.67031860351562" w:right="311.871337890625" w:firstLine="16.11846923828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En la investigación se expusieron peces a diferentes concentraciones de nanopartículas de  plata en el agua, en dos lapsos de tiempo. Como ocurre con los metales, la plata no se degrada  sino que se bioacumula y por ello es posible encontrarla en los órganos a los que llega. “El  hígado es el órgano target donde más efectos tóxicos vemos, pero también los vimos en una  variedad de órganos, hasta el cerebro”, destacó.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69140625" w:line="229.61797714233398" w:lineRule="auto"/>
        <w:ind w:left="119.86557006835938" w:right="311.34765625" w:firstLine="10.37765502929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Un efecto que pudieron observar -y el más conocido de este tipo de partículas- es el estrés  oxidativo. También, al analizar las branquias se evidenciaron alteraciones en el tejido. “Este  daño histológico ya no es una alerta temprana, sino que indica un nivel de daño más severo”,  señaló Ale. </w:t>
      </w:r>
      <w:r w:rsidDel="00000000" w:rsidR="00000000" w:rsidRPr="00000000">
        <w:drawing>
          <wp:anchor allowOverlap="1" behindDoc="0" distB="19050" distT="19050" distL="19050" distR="19050" hidden="0" layoutInCell="1" locked="0" relativeHeight="0" simplePos="0">
            <wp:simplePos x="0" y="0"/>
            <wp:positionH relativeFrom="column">
              <wp:posOffset>2163480</wp:posOffset>
            </wp:positionH>
            <wp:positionV relativeFrom="paragraph">
              <wp:posOffset>527812</wp:posOffset>
            </wp:positionV>
            <wp:extent cx="3945890" cy="2951480"/>
            <wp:effectExtent b="0" l="0" r="0" t="0"/>
            <wp:wrapSquare wrapText="left" distB="19050" distT="19050" distL="19050" distR="1905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945890" cy="2951480"/>
                    </a:xfrm>
                    <a:prstGeom prst="rect"/>
                    <a:ln/>
                  </pic:spPr>
                </pic:pic>
              </a:graphicData>
            </a:graphic>
          </wp:anchor>
        </w:drawing>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877685546875" w:line="240" w:lineRule="auto"/>
        <w:ind w:left="131.7887878417968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Finalmente, se evaluó el efecto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27954101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que la nanoplata y sus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6063842773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propiedades antibióticas tiene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65570068359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sobre la mucosa que recubre 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935363769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los peces y cuyas bacterias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7487792968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actúan como una primera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51947021484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barrera de defensa. “En los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6063842773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peces expuestos a las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51947021484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nanopartículas de plata las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8143310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unidades formadoras de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31927490234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colonias bacterianas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27954101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disminuyeron drásticamente, lo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27954101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que genera situaciones de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566345214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vulnerabilidad y afecta la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11132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calidad de vida de los peces”,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935363769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indicó.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92669677734375" w:line="240" w:lineRule="auto"/>
        <w:ind w:left="458.399810791015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Figura 1: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Equipo de trabajo del INALI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1962890625" w:line="240" w:lineRule="auto"/>
        <w:ind w:left="0" w:right="0" w:firstLine="0"/>
        <w:jc w:val="center"/>
        <w:rPr>
          <w:rFonts w:ascii="Arial" w:cs="Arial" w:eastAsia="Arial" w:hAnsi="Arial"/>
          <w:b w:val="1"/>
          <w:i w:val="0"/>
          <w:smallCaps w:val="0"/>
          <w:strike w:val="0"/>
          <w:color w:val="c54592"/>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c54592"/>
          <w:sz w:val="22.079999923706055"/>
          <w:szCs w:val="22.079999923706055"/>
          <w:u w:val="none"/>
          <w:shd w:fill="auto" w:val="clear"/>
          <w:vertAlign w:val="baseline"/>
          <w:rtl w:val="0"/>
        </w:rPr>
        <w:t xml:space="preserve">CONCLUSIONES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701416015625" w:line="229.07512664794922" w:lineRule="auto"/>
        <w:ind w:left="121.63192749023438" w:right="314.27734375" w:firstLine="7.94891357421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investigación se realizó en sábalos, esta especie nativa mostró ser muy sensible a las  nanopartículas de plata. “Nos gusta comparar las especies, sobre todo en nuestro sistema que  es tan rico en peces, y aunque sea un problema mundial, hay poca información que incluye  nuestras especies nativas”, contó Ale.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734375" w:line="228.6946964263916" w:lineRule="auto"/>
        <w:ind w:left="120.5279541015625" w:right="310.550537109375" w:firstLine="9.0528869628906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investigación en peces conjuga dos aspectos de interés, por un lado es un recurso  alimenticio y por otro, colabora con el monitoreo del ambiente ya que son bioindicadores  epresentativos del estrés ambiental. “El pez reacciona rápidamente, mucho antes que un  organismo de mayor porte demuestre efectos. Estas especies test permiten una alerta temprana  que se puede extrapolar a otros organismos más resistentes o más robustos”, detalló.</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40716552734375" w:line="240" w:lineRule="auto"/>
        <w:ind w:left="0" w:right="1664.6008300781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9445304870605" w:lineRule="auto"/>
        <w:ind w:left="112.79998779296875" w:right="312.87841796875" w:firstLine="18.9888000488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Entender que los productos con nanoplata no son inocuos para el ambiente y apelar a un  consumo responsable parece ser la premisa ante estos resultados. “Hay que tomar conciencia  del impacto ambiental de las decisiones y acciones cotidianas”, subrayó Ale. A esto se suma que las nanopartículas de plata, al igual que todo lo “nano”, no tiene una  regulación específica. “Se busca generar conciencia en las autoridades de regulación para  establecer por lo menos límites de exposición a través de diferentes medidas estandarizadas”,  concluyó.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544189453125" w:line="240" w:lineRule="auto"/>
        <w:ind w:left="0" w:right="0" w:firstLine="0"/>
        <w:jc w:val="center"/>
        <w:rPr>
          <w:rFonts w:ascii="Arial" w:cs="Arial" w:eastAsia="Arial" w:hAnsi="Arial"/>
          <w:b w:val="1"/>
          <w:i w:val="0"/>
          <w:smallCaps w:val="0"/>
          <w:strike w:val="0"/>
          <w:color w:val="c54592"/>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c54592"/>
          <w:sz w:val="22.079999923706055"/>
          <w:szCs w:val="22.079999923706055"/>
          <w:u w:val="none"/>
          <w:shd w:fill="auto" w:val="clear"/>
          <w:vertAlign w:val="baseline"/>
          <w:rtl w:val="0"/>
        </w:rPr>
        <w:t xml:space="preserve">BIBLIOGRAFÍA BÁSICA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548828125" w:line="233.64123344421387" w:lineRule="auto"/>
        <w:ind w:left="129.93118286132812" w:right="325.018310546875" w:hanging="1.992034912109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Barrero Ripoll, A.</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2006. Generación de Nanopartículas de Estructura Compleja por Medios  Electrohidrodinámicos. Editorial Universidad De Sevilla-Secretariado De Publicaciones, España.</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62.211303710938" w:line="240" w:lineRule="auto"/>
        <w:ind w:left="0" w:right="1664.600830078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sectPr>
      <w:headerReference r:id="rId8" w:type="default"/>
      <w:footerReference r:id="rId9" w:type="default"/>
      <w:pgSz w:h="16838" w:w="11906" w:orient="portrait"/>
      <w:pgMar w:bottom="283.46456692913387" w:top="924.0944881889765" w:left="1303.9370078740158" w:right="1043.149606299212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rPr/>
    </w:pPr>
    <w:r w:rsidDel="00000000" w:rsidR="00000000" w:rsidRPr="00000000">
      <w:rPr/>
      <w:drawing>
        <wp:inline distB="114300" distT="114300" distL="114300" distR="114300">
          <wp:extent cx="6279846" cy="93980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79846" cy="9398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shd w:fill="ffffff" w:val="clear"/>
      <w:rPr>
        <w:rFonts w:ascii="Lato" w:cs="Lato" w:eastAsia="Lato" w:hAnsi="Lato"/>
        <w:color w:val="222222"/>
        <w:sz w:val="16"/>
        <w:szCs w:val="1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4381500</wp:posOffset>
          </wp:positionH>
          <wp:positionV relativeFrom="paragraph">
            <wp:posOffset>142875</wp:posOffset>
          </wp:positionV>
          <wp:extent cx="1963990" cy="904875"/>
          <wp:effectExtent b="0" l="0" r="0" t="0"/>
          <wp:wrapNone/>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963990" cy="904875"/>
                  </a:xfrm>
                  <a:prstGeom prst="rect"/>
                  <a:ln/>
                </pic:spPr>
              </pic:pic>
            </a:graphicData>
          </a:graphic>
        </wp:anchor>
      </w:drawing>
    </w:r>
  </w:p>
  <w:p w:rsidR="00000000" w:rsidDel="00000000" w:rsidP="00000000" w:rsidRDefault="00000000" w:rsidRPr="00000000" w14:paraId="00000038">
    <w:pPr>
      <w:shd w:fill="ffffff" w:val="clear"/>
      <w:rPr>
        <w:rFonts w:ascii="Lato" w:cs="Lato" w:eastAsia="Lato" w:hAnsi="Lato"/>
        <w:color w:val="222222"/>
        <w:sz w:val="16"/>
        <w:szCs w:val="16"/>
      </w:rPr>
    </w:pPr>
    <w:r w:rsidDel="00000000" w:rsidR="00000000" w:rsidRPr="00000000">
      <w:rPr>
        <w:rtl w:val="0"/>
      </w:rPr>
    </w:r>
  </w:p>
  <w:p w:rsidR="00000000" w:rsidDel="00000000" w:rsidP="00000000" w:rsidRDefault="00000000" w:rsidRPr="00000000" w14:paraId="00000039">
    <w:pPr>
      <w:shd w:fill="ffffff" w:val="clear"/>
      <w:rPr>
        <w:rFonts w:ascii="Lato" w:cs="Lato" w:eastAsia="Lato" w:hAnsi="Lato"/>
        <w:color w:val="002863"/>
        <w:sz w:val="16"/>
        <w:szCs w:val="16"/>
      </w:rPr>
    </w:pPr>
    <w:r w:rsidDel="00000000" w:rsidR="00000000" w:rsidRPr="00000000">
      <w:rPr>
        <w:rtl w:val="0"/>
      </w:rPr>
    </w:r>
  </w:p>
  <w:p w:rsidR="00000000" w:rsidDel="00000000" w:rsidP="00000000" w:rsidRDefault="00000000" w:rsidRPr="00000000" w14:paraId="0000003A">
    <w:pPr>
      <w:shd w:fill="ffffff" w:val="clear"/>
      <w:rPr>
        <w:rFonts w:ascii="Lato" w:cs="Lato" w:eastAsia="Lato" w:hAnsi="Lato"/>
        <w:b w:val="1"/>
        <w:color w:val="002863"/>
        <w:sz w:val="14"/>
        <w:szCs w:val="14"/>
      </w:rPr>
    </w:pPr>
    <w:r w:rsidDel="00000000" w:rsidR="00000000" w:rsidRPr="00000000">
      <w:rPr>
        <w:rtl w:val="0"/>
      </w:rPr>
    </w:r>
  </w:p>
  <w:p w:rsidR="00000000" w:rsidDel="00000000" w:rsidP="00000000" w:rsidRDefault="00000000" w:rsidRPr="00000000" w14:paraId="0000003B">
    <w:pPr>
      <w:shd w:fill="ffffff" w:val="clear"/>
      <w:rPr>
        <w:rFonts w:ascii="Lato" w:cs="Lato" w:eastAsia="Lato" w:hAnsi="Lato"/>
        <w:b w:val="1"/>
        <w:color w:val="002863"/>
        <w:sz w:val="16"/>
        <w:szCs w:val="16"/>
      </w:rPr>
    </w:pPr>
    <w:r w:rsidDel="00000000" w:rsidR="00000000" w:rsidRPr="00000000">
      <w:rPr>
        <w:rFonts w:ascii="Lato" w:cs="Lato" w:eastAsia="Lato" w:hAnsi="Lato"/>
        <w:b w:val="1"/>
        <w:color w:val="002863"/>
        <w:sz w:val="16"/>
        <w:szCs w:val="16"/>
        <w:rtl w:val="0"/>
      </w:rPr>
      <w:t xml:space="preserve">XXVIII Encuentro de Jóvenes Jóvenes Investigadores</w:t>
    </w:r>
  </w:p>
  <w:p w:rsidR="00000000" w:rsidDel="00000000" w:rsidP="00000000" w:rsidRDefault="00000000" w:rsidRPr="00000000" w14:paraId="0000003C">
    <w:pPr>
      <w:shd w:fill="ffffff" w:val="clear"/>
      <w:rPr>
        <w:rFonts w:ascii="Lato" w:cs="Lato" w:eastAsia="Lato" w:hAnsi="Lato"/>
        <w:color w:val="002863"/>
        <w:sz w:val="16"/>
        <w:szCs w:val="16"/>
      </w:rPr>
    </w:pPr>
    <w:r w:rsidDel="00000000" w:rsidR="00000000" w:rsidRPr="00000000">
      <w:rPr>
        <w:rFonts w:ascii="Lato" w:cs="Lato" w:eastAsia="Lato" w:hAnsi="Lato"/>
        <w:color w:val="002863"/>
        <w:sz w:val="16"/>
        <w:szCs w:val="16"/>
        <w:rtl w:val="0"/>
      </w:rPr>
      <w:t xml:space="preserve">14  al 17 de octubre de 2025 | Santa Fe Argentina</w:t>
    </w:r>
  </w:p>
  <w:p w:rsidR="00000000" w:rsidDel="00000000" w:rsidP="00000000" w:rsidRDefault="00000000" w:rsidRPr="00000000" w14:paraId="0000003D">
    <w:pPr>
      <w:shd w:fill="ffffff" w:val="clear"/>
      <w:rPr>
        <w:rFonts w:ascii="Lato" w:cs="Lato" w:eastAsia="Lato" w:hAnsi="Lato"/>
        <w:color w:val="002863"/>
        <w:sz w:val="14"/>
        <w:szCs w:val="14"/>
      </w:rPr>
    </w:pPr>
    <w:r w:rsidDel="00000000" w:rsidR="00000000" w:rsidRPr="00000000">
      <w:rPr>
        <w:rtl w:val="0"/>
      </w:rPr>
    </w:r>
  </w:p>
  <w:p w:rsidR="00000000" w:rsidDel="00000000" w:rsidP="00000000" w:rsidRDefault="00000000" w:rsidRPr="00000000" w14:paraId="0000003E">
    <w:pPr>
      <w:shd w:fill="ffffff" w:val="clear"/>
      <w:rPr>
        <w:rFonts w:ascii="Lato" w:cs="Lato" w:eastAsia="Lato" w:hAnsi="Lato"/>
        <w:color w:val="002863"/>
        <w:sz w:val="14"/>
        <w:szCs w:val="14"/>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i9gsHf5Y66Xlh3hZ58rhjxjE4w==">CgMxLjA4AHIhMVEyRF9Ldk4tRF9MNWhZOXhCXy16NHBUd0JxZGd0QUZF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