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EE" w:rsidRPr="000576BC" w:rsidRDefault="00305AEE" w:rsidP="000030F5">
      <w:pPr>
        <w:shd w:val="clear" w:color="auto" w:fill="8DB3E2"/>
        <w:spacing w:after="0" w:line="360" w:lineRule="auto"/>
        <w:jc w:val="center"/>
        <w:rPr>
          <w:rFonts w:cstheme="minorHAnsi"/>
          <w:i/>
          <w:iCs/>
        </w:rPr>
      </w:pPr>
      <w:r w:rsidRPr="000576BC">
        <w:rPr>
          <w:rFonts w:cstheme="minorHAnsi"/>
          <w:b/>
          <w:bCs/>
        </w:rPr>
        <w:t>CONVOCATORIA DE CURSOS DE EXTENSION A DISTANCIA 2020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  <w:i/>
          <w:iCs/>
        </w:rPr>
      </w:pP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  <w:b/>
          <w:i/>
          <w:iCs/>
        </w:rPr>
        <w:t>De la convocatoria</w:t>
      </w:r>
      <w:r w:rsidRPr="000576BC">
        <w:rPr>
          <w:rFonts w:cstheme="minorHAnsi"/>
          <w:i/>
          <w:iCs/>
        </w:rPr>
        <w:t>:</w:t>
      </w:r>
    </w:p>
    <w:p w:rsidR="00305AEE" w:rsidRPr="000576BC" w:rsidRDefault="00305AEE" w:rsidP="000576BC">
      <w:pPr>
        <w:pStyle w:val="Ttulo1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0576BC">
        <w:rPr>
          <w:rFonts w:asciiTheme="minorHAnsi" w:hAnsiTheme="minorHAnsi" w:cstheme="minorHAnsi"/>
          <w:b w:val="0"/>
          <w:sz w:val="22"/>
          <w:szCs w:val="22"/>
          <w:u w:val="none"/>
        </w:rPr>
        <w:t>Se presenta ante el Consejo Asesor la CONVOCATORIA de CURSOS de EXTENSIÓN a DISTANCIA, dándose inicio a la misma.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Se denomina cursos de extensión a distancia a aquellas propuestas -producto de investigaciones, de proyectos de extensión y/o de docencia - que involucran la capacitación, actualización y/o perfeccionamiento destinados a distintos actores sociales. Los cursos de extensión no podrán confundirse con actividades de grado o posgrado.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La con</w:t>
      </w:r>
      <w:r w:rsidR="00014C35">
        <w:rPr>
          <w:rFonts w:cstheme="minorHAnsi"/>
        </w:rPr>
        <w:t>vocatoria se realiza desde el 28</w:t>
      </w:r>
      <w:r w:rsidRPr="000576BC">
        <w:rPr>
          <w:rFonts w:cstheme="minorHAnsi"/>
        </w:rPr>
        <w:t xml:space="preserve"> de agosto al 11 de noviembre de 2019, siendo esta fecha el límite de presentación de los cursos en el Área de Extensión de la Unidad Académica de referencia. </w:t>
      </w: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b/>
          <w:i/>
          <w:color w:val="000000"/>
        </w:rPr>
        <w:t>Propósitos de la convocatoria:</w:t>
      </w:r>
    </w:p>
    <w:p w:rsidR="00305AEE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Promover actividades de extensión destinadas a la capacitación, actualización y/o perfeccionamiento</w:t>
      </w:r>
      <w:r w:rsidR="004B48F2">
        <w:rPr>
          <w:rFonts w:cstheme="minorHAnsi"/>
          <w:color w:val="000000"/>
        </w:rPr>
        <w:t xml:space="preserve"> profundizando la relación extensión – docencia – investigación</w:t>
      </w:r>
      <w:r w:rsidRPr="000576BC">
        <w:rPr>
          <w:rFonts w:cstheme="minorHAnsi"/>
          <w:color w:val="000000"/>
        </w:rPr>
        <w:t>.</w:t>
      </w:r>
    </w:p>
    <w:p w:rsidR="0071782A" w:rsidRPr="0071782A" w:rsidRDefault="0071782A" w:rsidP="0071782A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 xml:space="preserve">Difundir la presentación de propuestas de cursos en el marco del </w:t>
      </w:r>
      <w:r>
        <w:rPr>
          <w:rFonts w:cstheme="minorHAnsi"/>
          <w:color w:val="000000"/>
        </w:rPr>
        <w:t>P</w:t>
      </w:r>
      <w:r w:rsidRPr="000576BC">
        <w:rPr>
          <w:rFonts w:cstheme="minorHAnsi"/>
          <w:color w:val="000000"/>
        </w:rPr>
        <w:t xml:space="preserve">rograma de </w:t>
      </w:r>
      <w:r>
        <w:rPr>
          <w:rFonts w:cstheme="minorHAnsi"/>
          <w:color w:val="000000"/>
        </w:rPr>
        <w:t>Educación a D</w:t>
      </w:r>
      <w:r w:rsidRPr="000576BC">
        <w:rPr>
          <w:rFonts w:cstheme="minorHAnsi"/>
          <w:color w:val="000000"/>
        </w:rPr>
        <w:t>istancia y garantizar la calidad de las propuestas que se presentan desde la Universidad hacia los distintos actores sociales de nuestra región.</w:t>
      </w:r>
    </w:p>
    <w:p w:rsidR="00305AEE" w:rsidRPr="00C97048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</w:rPr>
      </w:pPr>
      <w:r w:rsidRPr="000576BC">
        <w:rPr>
          <w:rFonts w:cstheme="minorHAnsi"/>
          <w:color w:val="000000"/>
        </w:rPr>
        <w:t>Organizar la implementación de  propuestas de extensión a los efectos de garantizar la más amplia convocatoria para la presentación de cursos en todas las Unidades Académicas y racionalizar los recursos disponibles.</w:t>
      </w: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b/>
          <w:i/>
          <w:color w:val="000000"/>
        </w:rPr>
        <w:t>Características académicas-curriculares de las actividades de extensión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Los cursos deberán contar una carga horaria mínima de 30 horas y máxima de 60 horas totales,  considerando el tiempo de tarea autónoma del alumno, tutorías y actividades de evaluación.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  <w:color w:val="000000"/>
        </w:rPr>
        <w:lastRenderedPageBreak/>
        <w:t>En el caso de que la carga horaria total sea mayor a 60 horas, se deberá realizar una consulta con el fin de evaluar la propuesta educativa.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i/>
          <w:color w:val="000000"/>
          <w:u w:val="single"/>
        </w:rPr>
        <w:t>Los cursos deberán contemplar</w:t>
      </w:r>
      <w:r w:rsidRPr="000576BC">
        <w:rPr>
          <w:rFonts w:cstheme="minorHAnsi"/>
          <w:color w:val="000000"/>
        </w:rPr>
        <w:t>: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Preparación de los diseños curriculares para los estudios a distancia.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 xml:space="preserve">Material digital 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Tutorías vía plataforma y por correo electrónico (pueden contemplarse también las presenciales).</w:t>
      </w:r>
    </w:p>
    <w:p w:rsidR="00305AEE" w:rsidRPr="00C97048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Evaluación (los criterios de aprobación quedan a criterio del equipo docente)</w:t>
      </w:r>
    </w:p>
    <w:p w:rsidR="00305AEE" w:rsidRPr="000576BC" w:rsidRDefault="00305AEE" w:rsidP="000576BC">
      <w:pPr>
        <w:pStyle w:val="Ttulo1"/>
        <w:shd w:val="clear" w:color="auto" w:fill="8DB3E2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0576BC">
        <w:rPr>
          <w:rFonts w:asciiTheme="minorHAnsi" w:hAnsiTheme="minorHAnsi" w:cstheme="minorHAnsi"/>
          <w:i/>
          <w:sz w:val="22"/>
          <w:szCs w:val="22"/>
          <w:u w:val="none"/>
        </w:rPr>
        <w:t xml:space="preserve">Ejes de la convocatoria </w:t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SALUD Y BIENESTAR</w:t>
      </w:r>
      <w:r w:rsidRPr="000576BC">
        <w:rPr>
          <w:rStyle w:val="Refdenotaalpie"/>
          <w:rFonts w:cstheme="minorHAnsi"/>
        </w:rPr>
        <w:footnoteReference w:id="1"/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EDUCACIÓN INCLUSIVA, EQUITATIVA y de CALIDAD</w:t>
      </w:r>
      <w:r w:rsidRPr="000576BC">
        <w:rPr>
          <w:rStyle w:val="Refdenotaalpie"/>
          <w:rFonts w:cstheme="minorHAnsi"/>
        </w:rPr>
        <w:footnoteReference w:id="2"/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IGUALDAD DE GÉNERO y DIVERSIDAD SEXUAL</w:t>
      </w:r>
      <w:r w:rsidRPr="000576BC">
        <w:rPr>
          <w:rStyle w:val="Refdenotaalpie"/>
          <w:rFonts w:cstheme="minorHAnsi"/>
        </w:rPr>
        <w:footnoteReference w:id="3"/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ENERGÍA ASEQUIBLE Y NO CONTAMINANTE</w:t>
      </w:r>
      <w:r w:rsidRPr="000576BC">
        <w:rPr>
          <w:rStyle w:val="Refdenotaalpie"/>
          <w:rFonts w:cstheme="minorHAnsi"/>
        </w:rPr>
        <w:footnoteReference w:id="4"/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TRABAJO Y ECONOMÍA</w:t>
      </w:r>
      <w:r w:rsidRPr="000576BC">
        <w:rPr>
          <w:rStyle w:val="Refdenotaalpie"/>
          <w:rFonts w:cstheme="minorHAnsi"/>
        </w:rPr>
        <w:footnoteReference w:id="5"/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CIUDADES Y COMUNIDADES SOSTENIBLES</w:t>
      </w:r>
      <w:r w:rsidRPr="000576BC">
        <w:rPr>
          <w:rStyle w:val="Refdenotaalpie"/>
          <w:rFonts w:cstheme="minorHAnsi"/>
        </w:rPr>
        <w:footnoteReference w:id="6"/>
      </w:r>
    </w:p>
    <w:p w:rsidR="00B70DBD" w:rsidRPr="000576BC" w:rsidRDefault="00B70DBD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lastRenderedPageBreak/>
        <w:t>PRODUCCIÓN Y CONSUMO RESPONSABLE</w:t>
      </w:r>
      <w:r w:rsidRPr="000576BC">
        <w:rPr>
          <w:rStyle w:val="Refdenotaalpie"/>
          <w:rFonts w:cstheme="minorHAnsi"/>
        </w:rPr>
        <w:footnoteReference w:id="7"/>
      </w:r>
    </w:p>
    <w:p w:rsidR="00DF4B3B" w:rsidRPr="000576BC" w:rsidRDefault="00A355F3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AMBIENTES /ECOSISTEMAS SOSTENIBLES</w:t>
      </w:r>
      <w:r w:rsidR="008E25A7" w:rsidRPr="000576BC">
        <w:rPr>
          <w:rStyle w:val="Refdenotaalpie"/>
          <w:rFonts w:cstheme="minorHAnsi"/>
        </w:rPr>
        <w:footnoteReference w:id="8"/>
      </w:r>
    </w:p>
    <w:p w:rsidR="00DF4B3B" w:rsidRPr="000576BC" w:rsidRDefault="00DF4B3B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PAZ Y JUSTICIA</w:t>
      </w:r>
      <w:r w:rsidRPr="000576BC">
        <w:rPr>
          <w:rStyle w:val="Refdenotaalpie"/>
          <w:rFonts w:cstheme="minorHAnsi"/>
        </w:rPr>
        <w:footnoteReference w:id="9"/>
      </w:r>
    </w:p>
    <w:p w:rsidR="000E3F79" w:rsidRDefault="00DF4B3B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CULTURA, PATRIMONIO Y CREATIVIDAD</w:t>
      </w:r>
      <w:r w:rsidRPr="000576BC">
        <w:rPr>
          <w:rStyle w:val="Refdenotaalpie"/>
          <w:rFonts w:cstheme="minorHAnsi"/>
        </w:rPr>
        <w:footnoteReference w:id="10"/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Cualquier</w:t>
      </w:r>
      <w:r w:rsidRPr="000576BC">
        <w:rPr>
          <w:rFonts w:cstheme="minorHAnsi"/>
          <w:i/>
        </w:rPr>
        <w:t xml:space="preserve"> propuesta que no esté contenida en los ejes podrá ser presentada en la Unidad Académica y quedará a consideración de la Secretaría de Extensión Social y Cultural de la Universidad, la pertinencia del proyecto en la presente convocatoria.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b/>
          <w:i/>
          <w:color w:val="000000"/>
        </w:rPr>
        <w:t>Requisitos para la presentación de las propuestas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  <w:color w:val="000000"/>
        </w:rPr>
        <w:t>Podrán presentar Proyectos de Cursos de Extensión a Distancia, todos los docentes en ejercicio de la Universidad Nacional del Litoral, pertenecientes a todas las Unidades Académicas, Escuelas e Institutos, cuyo responsable debe tener un cargo de Jefe de Trabajos Prácticos o categoría superior.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lastRenderedPageBreak/>
        <w:t>Los proyectos deberán ser presentados de acuerdo a las pautas que se establecen en el formulario diseñado a tales efectos. La presentación deberá hacerse por copia en formato papel y una copia en formato digital.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  <w:b/>
          <w:i/>
        </w:rPr>
        <w:t>Formato de la presentación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La propuesta del curso deberá presentarse en copia en formato papel y una c</w:t>
      </w:r>
      <w:r w:rsidR="000540E2">
        <w:rPr>
          <w:rFonts w:cstheme="minorHAnsi"/>
        </w:rPr>
        <w:t>o</w:t>
      </w:r>
      <w:r w:rsidRPr="000576BC">
        <w:rPr>
          <w:rFonts w:cstheme="minorHAnsi"/>
        </w:rPr>
        <w:t>pia en formato digital (formato A4, con márgenes de 2 cm de lado, en tipografía Arial de cuerpo 10, interlineado simple).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 xml:space="preserve">Deberá presentarse la propuesta en formato papel, siendo avalada por la respectiva Unidad Académica y para su elevación a la Secretaría de Extensión Social y Cultural. Y copia en formato digital que deberá ser enviada a </w:t>
      </w:r>
      <w:hyperlink r:id="rId8" w:history="1">
        <w:r w:rsidRPr="000576BC">
          <w:rPr>
            <w:rStyle w:val="Hipervnculo"/>
            <w:rFonts w:cstheme="minorHAnsi"/>
          </w:rPr>
          <w:t>cursos@unl.edu.ar</w:t>
        </w:r>
      </w:hyperlink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b/>
          <w:i/>
          <w:color w:val="000000"/>
        </w:rPr>
        <w:t>Circuitos de evaluación de las propuestas</w:t>
      </w:r>
    </w:p>
    <w:p w:rsidR="00305AEE" w:rsidRPr="000576BC" w:rsidRDefault="00305AEE" w:rsidP="000576BC">
      <w:pPr>
        <w:spacing w:after="0" w:line="360" w:lineRule="auto"/>
        <w:jc w:val="both"/>
        <w:rPr>
          <w:rFonts w:eastAsia="Calibri" w:cstheme="minorHAnsi"/>
        </w:rPr>
      </w:pPr>
      <w:r w:rsidRPr="000576BC">
        <w:rPr>
          <w:rFonts w:cstheme="minorHAnsi"/>
          <w:color w:val="000000"/>
        </w:rPr>
        <w:t>Una vez presentadas las propuestas en los plazos establecidos:</w:t>
      </w:r>
    </w:p>
    <w:p w:rsidR="00305AEE" w:rsidRPr="00C97048" w:rsidRDefault="0000003B" w:rsidP="000576BC">
      <w:pPr>
        <w:pStyle w:val="Prrafodelista1"/>
        <w:tabs>
          <w:tab w:val="left" w:pos="171"/>
        </w:tabs>
        <w:spacing w:after="0" w:line="360" w:lineRule="auto"/>
        <w:ind w:left="0"/>
        <w:jc w:val="both"/>
        <w:rPr>
          <w:rFonts w:asciiTheme="minorHAnsi" w:eastAsia="Calibri" w:hAnsiTheme="minorHAnsi" w:cstheme="minorHAnsi"/>
        </w:rPr>
      </w:pPr>
      <w:r w:rsidRPr="008062C0">
        <w:rPr>
          <w:rFonts w:asciiTheme="minorHAnsi" w:eastAsia="Calibri" w:hAnsiTheme="minorHAnsi" w:cstheme="minorHAnsi"/>
        </w:rPr>
        <w:t>Se evaluará la admisibilidad, pertinencia y calid</w:t>
      </w:r>
      <w:r w:rsidR="000D11E3" w:rsidRPr="008062C0">
        <w:rPr>
          <w:rFonts w:asciiTheme="minorHAnsi" w:eastAsia="Calibri" w:hAnsiTheme="minorHAnsi" w:cstheme="minorHAnsi"/>
        </w:rPr>
        <w:t xml:space="preserve">ad académica de las propuestas </w:t>
      </w:r>
      <w:r w:rsidRPr="008062C0">
        <w:rPr>
          <w:rFonts w:asciiTheme="minorHAnsi" w:eastAsia="Calibri" w:hAnsiTheme="minorHAnsi" w:cstheme="minorHAnsi"/>
        </w:rPr>
        <w:t>desde una comisión ad hoc de la</w:t>
      </w:r>
      <w:r w:rsidR="00305AEE" w:rsidRPr="008062C0">
        <w:rPr>
          <w:rFonts w:asciiTheme="minorHAnsi" w:eastAsia="Calibri" w:hAnsiTheme="minorHAnsi" w:cstheme="minorHAnsi"/>
        </w:rPr>
        <w:t xml:space="preserve"> Secretaría de Extensión Social y Cultural</w:t>
      </w:r>
      <w:r w:rsidR="007A6E07" w:rsidRPr="008062C0">
        <w:rPr>
          <w:rFonts w:asciiTheme="minorHAnsi" w:eastAsia="Calibri" w:hAnsiTheme="minorHAnsi" w:cstheme="minorHAnsi"/>
        </w:rPr>
        <w:t xml:space="preserve"> </w:t>
      </w:r>
      <w:r w:rsidRPr="008062C0">
        <w:rPr>
          <w:rFonts w:asciiTheme="minorHAnsi" w:eastAsia="Calibri" w:hAnsiTheme="minorHAnsi" w:cstheme="minorHAnsi"/>
        </w:rPr>
        <w:t>(compuesta por un repre</w:t>
      </w:r>
      <w:r w:rsidR="000D11E3" w:rsidRPr="008062C0">
        <w:rPr>
          <w:rFonts w:asciiTheme="minorHAnsi" w:eastAsia="Calibri" w:hAnsiTheme="minorHAnsi" w:cstheme="minorHAnsi"/>
        </w:rPr>
        <w:t>sentante del Programa de Formació</w:t>
      </w:r>
      <w:r w:rsidRPr="008062C0">
        <w:rPr>
          <w:rFonts w:asciiTheme="minorHAnsi" w:eastAsia="Calibri" w:hAnsiTheme="minorHAnsi" w:cstheme="minorHAnsi"/>
        </w:rPr>
        <w:t xml:space="preserve">n y </w:t>
      </w:r>
      <w:r w:rsidR="000D11E3" w:rsidRPr="008062C0">
        <w:rPr>
          <w:rFonts w:asciiTheme="minorHAnsi" w:eastAsia="Calibri" w:hAnsiTheme="minorHAnsi" w:cstheme="minorHAnsi"/>
        </w:rPr>
        <w:t>Capacitación</w:t>
      </w:r>
      <w:r w:rsidR="007A6E07" w:rsidRPr="008062C0">
        <w:rPr>
          <w:rFonts w:asciiTheme="minorHAnsi" w:eastAsia="Calibri" w:hAnsiTheme="minorHAnsi" w:cstheme="minorHAnsi"/>
        </w:rPr>
        <w:t>, un r</w:t>
      </w:r>
      <w:r w:rsidR="000D11E3" w:rsidRPr="008062C0">
        <w:rPr>
          <w:rFonts w:asciiTheme="minorHAnsi" w:eastAsia="Calibri" w:hAnsiTheme="minorHAnsi" w:cstheme="minorHAnsi"/>
        </w:rPr>
        <w:t>epresentante del Á</w:t>
      </w:r>
      <w:r w:rsidRPr="008062C0">
        <w:rPr>
          <w:rFonts w:asciiTheme="minorHAnsi" w:eastAsia="Calibri" w:hAnsiTheme="minorHAnsi" w:cstheme="minorHAnsi"/>
        </w:rPr>
        <w:t xml:space="preserve">rea </w:t>
      </w:r>
      <w:r w:rsidR="008062C0" w:rsidRPr="008062C0">
        <w:rPr>
          <w:rFonts w:asciiTheme="minorHAnsi" w:eastAsia="Calibri" w:hAnsiTheme="minorHAnsi" w:cstheme="minorHAnsi"/>
        </w:rPr>
        <w:t>Integración de Funciones</w:t>
      </w:r>
      <w:r w:rsidR="007A6E07" w:rsidRPr="008062C0">
        <w:rPr>
          <w:rFonts w:asciiTheme="minorHAnsi" w:eastAsia="Calibri" w:hAnsiTheme="minorHAnsi" w:cstheme="minorHAnsi"/>
        </w:rPr>
        <w:t xml:space="preserve"> y un represen</w:t>
      </w:r>
      <w:r w:rsidR="008062C0" w:rsidRPr="008062C0">
        <w:rPr>
          <w:rFonts w:asciiTheme="minorHAnsi" w:eastAsia="Calibri" w:hAnsiTheme="minorHAnsi" w:cstheme="minorHAnsi"/>
        </w:rPr>
        <w:t>tante de Prog</w:t>
      </w:r>
      <w:r w:rsidR="00C97048">
        <w:rPr>
          <w:rFonts w:asciiTheme="minorHAnsi" w:eastAsia="Calibri" w:hAnsiTheme="minorHAnsi" w:cstheme="minorHAnsi"/>
        </w:rPr>
        <w:t>ramas de Extensión)</w:t>
      </w:r>
    </w:p>
    <w:p w:rsidR="00305AEE" w:rsidRPr="000576BC" w:rsidRDefault="00305AEE" w:rsidP="000576BC">
      <w:pPr>
        <w:pStyle w:val="Ttulo1"/>
        <w:shd w:val="clear" w:color="auto" w:fill="8DB3E2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0576BC">
        <w:rPr>
          <w:rFonts w:asciiTheme="minorHAnsi" w:hAnsiTheme="minorHAnsi" w:cstheme="minorHAnsi"/>
          <w:i/>
          <w:sz w:val="22"/>
          <w:szCs w:val="22"/>
          <w:u w:val="none"/>
        </w:rPr>
        <w:t>Condiciones para la implementación de la propuesta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 xml:space="preserve">Si el proyecto resultara aprobado, su implementación </w:t>
      </w:r>
      <w:r w:rsidRPr="000576BC">
        <w:rPr>
          <w:rFonts w:cstheme="minorHAnsi"/>
          <w:color w:val="000000"/>
        </w:rPr>
        <w:t xml:space="preserve">quedará sujeta a la cantidad mínima de </w:t>
      </w:r>
      <w:r w:rsidRPr="000576BC">
        <w:rPr>
          <w:rFonts w:cstheme="minorHAnsi"/>
          <w:b/>
        </w:rPr>
        <w:t>25 inscriptos</w:t>
      </w:r>
      <w:r w:rsidRPr="000576BC">
        <w:rPr>
          <w:rFonts w:cstheme="minorHAnsi"/>
          <w:color w:val="000000"/>
        </w:rPr>
        <w:t>, de acuerdo a la estimación realizada por la Secretaría de Extensión Social y Cultural. Los fondos que se recauden serán canalizados según las disposiciones de Servicios a Terceros de la UNL.</w:t>
      </w: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b/>
          <w:i/>
          <w:color w:val="000000"/>
        </w:rPr>
        <w:t xml:space="preserve">Funciones de la Secretaría de Extensión Social y Cultural </w:t>
      </w:r>
    </w:p>
    <w:p w:rsidR="00305AEE" w:rsidRPr="000576BC" w:rsidRDefault="0000003B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 xml:space="preserve">Presentar la convocatoria de CED 2020 ante </w:t>
      </w:r>
      <w:r w:rsidR="00305AEE" w:rsidRPr="000576BC">
        <w:rPr>
          <w:rFonts w:cstheme="minorHAnsi"/>
          <w:color w:val="000000"/>
        </w:rPr>
        <w:t>el Consejo Asesor.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lastRenderedPageBreak/>
        <w:t>Realizar la convocatoria de las propuestas de Cursos de Extensión ante las Unidades Académicas.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Asesorar a los docentes en el armado de las propuestas.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Notificar el resultado de las evaluaciones.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Remitir al CEMED el listado de cursos a implementar.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Realizar el Servicio Educativo a Terceros correspondiente con las unidades académicas de donde procede la propuesta.</w:t>
      </w:r>
    </w:p>
    <w:p w:rsidR="00305AEE" w:rsidRPr="0028472F" w:rsidRDefault="00305AEE" w:rsidP="000576BC">
      <w:pPr>
        <w:pStyle w:val="Prrafodelista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0576BC">
        <w:rPr>
          <w:rFonts w:asciiTheme="minorHAnsi" w:hAnsiTheme="minorHAnsi" w:cstheme="minorHAnsi"/>
          <w:color w:val="000000"/>
        </w:rPr>
        <w:t>Extender las certificaciones.</w:t>
      </w:r>
    </w:p>
    <w:p w:rsidR="00305AEE" w:rsidRPr="000576BC" w:rsidRDefault="00305AEE" w:rsidP="000576BC">
      <w:pPr>
        <w:shd w:val="clear" w:color="auto" w:fill="8DB3E2"/>
        <w:spacing w:after="0" w:line="360" w:lineRule="auto"/>
        <w:jc w:val="both"/>
        <w:rPr>
          <w:rFonts w:cstheme="minorHAnsi"/>
          <w:color w:val="000000"/>
        </w:rPr>
      </w:pPr>
      <w:r w:rsidRPr="000576BC">
        <w:rPr>
          <w:rFonts w:cstheme="minorHAnsi"/>
          <w:b/>
          <w:i/>
          <w:color w:val="000000"/>
        </w:rPr>
        <w:t>Funciones del CEMED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  <w:color w:val="000000"/>
        </w:rPr>
        <w:t>Coordinar las pautas de trabajo que involucren la implementación de cada propuesta (preparación de los materiales, diseño de la plataforma, etc.).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</w:rPr>
      </w:pPr>
      <w:r w:rsidRPr="000576BC">
        <w:rPr>
          <w:rFonts w:cstheme="minorHAnsi"/>
          <w:color w:val="000000"/>
        </w:rPr>
        <w:t>Hacer las gestiones para la propiedad intelectual de los materiales, en el caso que haya producción propia.</w:t>
      </w:r>
    </w:p>
    <w:p w:rsidR="00305AEE" w:rsidRPr="000576BC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</w:rPr>
      </w:pPr>
      <w:r w:rsidRPr="000576BC">
        <w:rPr>
          <w:rFonts w:cstheme="minorHAnsi"/>
        </w:rPr>
        <w:t xml:space="preserve">Capacitar a los docentes en la utilización del Aula Virtual. </w:t>
      </w:r>
    </w:p>
    <w:p w:rsidR="00305AEE" w:rsidRPr="0028472F" w:rsidRDefault="00305AEE" w:rsidP="000576BC">
      <w:pPr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576BC">
        <w:rPr>
          <w:rFonts w:cstheme="minorHAnsi"/>
        </w:rPr>
        <w:t>Realizar el apoyo operativo que supone la implementación de la propuesta (difundir las propuestas, realizar inscripciones y cobro, distribuir materiales, etc.).</w:t>
      </w:r>
    </w:p>
    <w:p w:rsidR="00305AEE" w:rsidRPr="000576BC" w:rsidRDefault="00305AEE" w:rsidP="000576BC">
      <w:pPr>
        <w:pStyle w:val="Ttulo1"/>
        <w:shd w:val="clear" w:color="auto" w:fill="8DB3E2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0576BC">
        <w:rPr>
          <w:rFonts w:asciiTheme="minorHAnsi" w:hAnsiTheme="minorHAnsi" w:cstheme="minorHAnsi"/>
          <w:i/>
          <w:sz w:val="22"/>
          <w:szCs w:val="22"/>
          <w:u w:val="none"/>
        </w:rPr>
        <w:t>Asesoramiento para la presentación de propuestas</w:t>
      </w: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 xml:space="preserve">Para mayores informes dirigirse a la Secretaría </w:t>
      </w:r>
      <w:r w:rsidR="00C14A18">
        <w:rPr>
          <w:rFonts w:cstheme="minorHAnsi"/>
        </w:rPr>
        <w:t>de Extensión Social y Cultural. E</w:t>
      </w:r>
      <w:r w:rsidRPr="000576BC">
        <w:rPr>
          <w:rFonts w:cstheme="minorHAnsi"/>
        </w:rPr>
        <w:t xml:space="preserve">-mail: </w:t>
      </w:r>
      <w:hyperlink r:id="rId9" w:history="1">
        <w:r w:rsidRPr="000576BC">
          <w:rPr>
            <w:rStyle w:val="Hipervnculo"/>
            <w:rFonts w:cstheme="minorHAnsi"/>
          </w:rPr>
          <w:t>cursos@unl.edu.ar</w:t>
        </w:r>
      </w:hyperlink>
    </w:p>
    <w:p w:rsidR="00305AEE" w:rsidRPr="000576BC" w:rsidRDefault="00305AEE" w:rsidP="00C9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cstheme="minorHAnsi"/>
        </w:rPr>
      </w:pPr>
      <w:r w:rsidRPr="000576BC">
        <w:rPr>
          <w:rFonts w:cstheme="minorHAnsi"/>
        </w:rPr>
        <w:t>Cualquier consulta sobre la guía, podrá rea</w:t>
      </w:r>
      <w:r w:rsidR="00142F45" w:rsidRPr="000576BC">
        <w:rPr>
          <w:rFonts w:cstheme="minorHAnsi"/>
        </w:rPr>
        <w:t xml:space="preserve">lizarse en el área de Extensión </w:t>
      </w:r>
      <w:r w:rsidRPr="000576BC">
        <w:rPr>
          <w:rFonts w:cstheme="minorHAnsi"/>
        </w:rPr>
        <w:t>de la Unidad Académica correspondiente y/o  al Programa de Formación y Capacitación de la Secretaría de Extensión Social y Cultural de la Un</w:t>
      </w:r>
      <w:r w:rsidR="00C14A18">
        <w:rPr>
          <w:rFonts w:cstheme="minorHAnsi"/>
        </w:rPr>
        <w:t xml:space="preserve">iversidad Nacional del Litoral. </w:t>
      </w:r>
      <w:r w:rsidRPr="000576BC">
        <w:rPr>
          <w:rFonts w:cstheme="minorHAnsi"/>
        </w:rPr>
        <w:t>Correo electrónico: cursos@unl.edu.ar</w:t>
      </w:r>
    </w:p>
    <w:p w:rsidR="0028472F" w:rsidRDefault="0028472F" w:rsidP="0028472F">
      <w:pPr>
        <w:pStyle w:val="Ttulo1"/>
        <w:shd w:val="clear" w:color="auto" w:fill="FFFFFF" w:themeFill="background1"/>
        <w:tabs>
          <w:tab w:val="right" w:pos="8504"/>
        </w:tabs>
        <w:spacing w:before="0" w:line="360" w:lineRule="auto"/>
        <w:rPr>
          <w:rFonts w:asciiTheme="minorHAnsi" w:hAnsiTheme="minorHAnsi" w:cstheme="minorHAnsi"/>
          <w:sz w:val="22"/>
          <w:szCs w:val="22"/>
          <w:u w:val="none"/>
        </w:rPr>
      </w:pPr>
    </w:p>
    <w:p w:rsidR="00305AEE" w:rsidRDefault="00305AEE" w:rsidP="0044056F">
      <w:pPr>
        <w:pStyle w:val="Ttulo1"/>
        <w:shd w:val="clear" w:color="auto" w:fill="8DB3E2"/>
        <w:tabs>
          <w:tab w:val="right" w:pos="8504"/>
        </w:tabs>
        <w:spacing w:before="0" w:line="36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0576BC">
        <w:rPr>
          <w:rFonts w:asciiTheme="minorHAnsi" w:hAnsiTheme="minorHAnsi" w:cstheme="minorHAnsi"/>
          <w:sz w:val="22"/>
          <w:szCs w:val="22"/>
          <w:u w:val="none"/>
        </w:rPr>
        <w:t xml:space="preserve">Cronograma </w:t>
      </w:r>
      <w:r w:rsidR="0044056F">
        <w:rPr>
          <w:rFonts w:asciiTheme="minorHAnsi" w:hAnsiTheme="minorHAnsi" w:cstheme="minorHAnsi"/>
          <w:sz w:val="22"/>
          <w:szCs w:val="22"/>
          <w:u w:val="none"/>
        </w:rPr>
        <w:tab/>
      </w:r>
    </w:p>
    <w:p w:rsidR="0044056F" w:rsidRPr="0044056F" w:rsidRDefault="0044056F" w:rsidP="0044056F">
      <w:pPr>
        <w:pStyle w:val="Textoindependiente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7"/>
        <w:gridCol w:w="5596"/>
      </w:tblGrid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0576BC">
              <w:rPr>
                <w:rFonts w:eastAsia="Calibri" w:cstheme="minorHAnsi"/>
                <w:b/>
                <w:bCs/>
              </w:rPr>
              <w:t>Período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  <w:b/>
                <w:bCs/>
              </w:rPr>
              <w:t>Actividades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8062C0" w:rsidRDefault="00553B90" w:rsidP="000576BC">
            <w:pPr>
              <w:spacing w:after="0" w:line="360" w:lineRule="auto"/>
              <w:jc w:val="both"/>
              <w:rPr>
                <w:rFonts w:eastAsia="Calibri" w:cstheme="minorHAnsi"/>
                <w:lang w:val="pt-BR"/>
              </w:rPr>
            </w:pPr>
            <w:r w:rsidRPr="008062C0">
              <w:rPr>
                <w:rFonts w:eastAsia="Calibri" w:cstheme="minorHAnsi"/>
                <w:lang w:val="pt-BR"/>
              </w:rPr>
              <w:t>Semana de 26 de agosto de 2019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Presentació</w:t>
            </w:r>
            <w:r w:rsidR="00553B90" w:rsidRPr="000576BC">
              <w:rPr>
                <w:rFonts w:eastAsia="Calibri" w:cstheme="minorHAnsi"/>
              </w:rPr>
              <w:t>n de la Convocatoria de CED 2020</w:t>
            </w:r>
            <w:r w:rsidRPr="000576BC">
              <w:rPr>
                <w:rFonts w:eastAsia="Calibri" w:cstheme="minorHAnsi"/>
              </w:rPr>
              <w:t xml:space="preserve"> al Consejo Asesor 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Hasta el </w:t>
            </w:r>
            <w:r w:rsidR="00553B90" w:rsidRPr="000576BC">
              <w:rPr>
                <w:rFonts w:eastAsia="Calibri" w:cstheme="minorHAnsi"/>
              </w:rPr>
              <w:t>9 de septiembre de 2019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Preparación con el área de Comunicación  de la Difusión de la Convocatoria </w:t>
            </w:r>
            <w:r w:rsidR="00553B90" w:rsidRPr="000576BC">
              <w:rPr>
                <w:rFonts w:eastAsia="Calibri" w:cstheme="minorHAnsi"/>
              </w:rPr>
              <w:t>CED 2020</w:t>
            </w:r>
            <w:r w:rsidRPr="000576BC">
              <w:rPr>
                <w:rFonts w:eastAsia="Calibri" w:cstheme="minorHAnsi"/>
              </w:rPr>
              <w:t xml:space="preserve"> (Diagramación de Afiches, Web, Spots, etc.)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Del 1</w:t>
            </w:r>
            <w:r w:rsidR="00553B90" w:rsidRPr="000576BC">
              <w:rPr>
                <w:rFonts w:eastAsia="Calibri" w:cstheme="minorHAnsi"/>
              </w:rPr>
              <w:t xml:space="preserve">1 de septiembre </w:t>
            </w:r>
            <w:r w:rsidRPr="000576BC">
              <w:rPr>
                <w:rFonts w:eastAsia="Calibri" w:cstheme="minorHAnsi"/>
              </w:rPr>
              <w:t xml:space="preserve">al </w:t>
            </w:r>
            <w:r w:rsidR="00553B90" w:rsidRPr="000576BC">
              <w:rPr>
                <w:rFonts w:eastAsia="Calibri" w:cstheme="minorHAnsi"/>
              </w:rPr>
              <w:t>4</w:t>
            </w:r>
            <w:r w:rsidRPr="000576BC">
              <w:rPr>
                <w:rFonts w:eastAsia="Calibri" w:cstheme="minorHAnsi"/>
              </w:rPr>
              <w:t xml:space="preserve"> de </w:t>
            </w:r>
            <w:r w:rsidR="00553B90" w:rsidRPr="000576BC">
              <w:rPr>
                <w:rFonts w:eastAsia="Calibri" w:cstheme="minorHAnsi"/>
              </w:rPr>
              <w:t xml:space="preserve">noviembre de 2019 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Apertura de Convocatoria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Hasta el 1</w:t>
            </w:r>
            <w:r w:rsidR="00553B90" w:rsidRPr="000576BC">
              <w:rPr>
                <w:rFonts w:eastAsia="Calibri" w:cstheme="minorHAnsi"/>
              </w:rPr>
              <w:t>1</w:t>
            </w:r>
            <w:r w:rsidRPr="000576BC">
              <w:rPr>
                <w:rFonts w:eastAsia="Calibri" w:cstheme="minorHAnsi"/>
              </w:rPr>
              <w:t xml:space="preserve"> de </w:t>
            </w:r>
            <w:r w:rsidR="00553B90" w:rsidRPr="000576BC">
              <w:rPr>
                <w:rFonts w:eastAsia="Calibri" w:cstheme="minorHAnsi"/>
              </w:rPr>
              <w:t xml:space="preserve">noviembre de 2019. 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D67288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Plazo </w:t>
            </w:r>
            <w:r w:rsidR="00553B90" w:rsidRPr="000576BC">
              <w:rPr>
                <w:rFonts w:eastAsia="Calibri" w:cstheme="minorHAnsi"/>
              </w:rPr>
              <w:t xml:space="preserve">último </w:t>
            </w:r>
            <w:r w:rsidRPr="000576BC">
              <w:rPr>
                <w:rFonts w:eastAsia="Calibri" w:cstheme="minorHAnsi"/>
              </w:rPr>
              <w:t xml:space="preserve">de presentación de las propuestas en cada Unidad </w:t>
            </w:r>
            <w:r w:rsidRPr="00D67288">
              <w:rPr>
                <w:rFonts w:eastAsia="Calibri" w:cstheme="minorHAnsi"/>
              </w:rPr>
              <w:t>Académica (refiriendo si la propuesta es para el 1er cuatrimestre o para el 2do cuatrimestre de 20</w:t>
            </w:r>
            <w:r w:rsidR="00D67288" w:rsidRPr="00D67288">
              <w:rPr>
                <w:rFonts w:eastAsia="Calibri" w:cstheme="minorHAnsi"/>
              </w:rPr>
              <w:t>20</w:t>
            </w:r>
            <w:r w:rsidRPr="00D67288">
              <w:rPr>
                <w:rFonts w:eastAsia="Calibri" w:cstheme="minorHAnsi"/>
              </w:rPr>
              <w:t>)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Hasta el 1</w:t>
            </w:r>
            <w:r w:rsidR="00553B90" w:rsidRPr="000576BC">
              <w:rPr>
                <w:rFonts w:eastAsia="Calibri" w:cstheme="minorHAnsi"/>
              </w:rPr>
              <w:t>8</w:t>
            </w:r>
            <w:r w:rsidRPr="000576BC">
              <w:rPr>
                <w:rFonts w:eastAsia="Calibri" w:cstheme="minorHAnsi"/>
              </w:rPr>
              <w:t xml:space="preserve"> de </w:t>
            </w:r>
            <w:r w:rsidR="00553B90" w:rsidRPr="000576BC">
              <w:rPr>
                <w:rFonts w:eastAsia="Calibri" w:cstheme="minorHAnsi"/>
              </w:rPr>
              <w:t>noviembre de 2019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Elevación de los proyectos presentados con el aval institucional de cada  Unidad Académica a la Secretaría de Extensión </w:t>
            </w:r>
            <w:r w:rsidRPr="000576BC">
              <w:rPr>
                <w:rFonts w:eastAsia="Calibri" w:cstheme="minorHAnsi"/>
                <w:color w:val="000000"/>
              </w:rPr>
              <w:t xml:space="preserve">Social y Cultural </w:t>
            </w:r>
            <w:r w:rsidRPr="000576BC">
              <w:rPr>
                <w:rFonts w:eastAsia="Calibri" w:cstheme="minorHAnsi"/>
              </w:rPr>
              <w:t>-UNL.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021443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Del 25 de noviembre al 2 de diciembre de 2019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75C1D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Jornada de evaluación de admisibilidad, pertinencia y calidad </w:t>
            </w:r>
            <w:r w:rsidR="00305AEE" w:rsidRPr="000576BC">
              <w:rPr>
                <w:rFonts w:eastAsia="Calibri" w:cstheme="minorHAnsi"/>
              </w:rPr>
              <w:t>de</w:t>
            </w:r>
            <w:r w:rsidRPr="000576BC">
              <w:rPr>
                <w:rFonts w:eastAsia="Calibri" w:cstheme="minorHAnsi"/>
              </w:rPr>
              <w:t xml:space="preserve"> las propuestas de</w:t>
            </w:r>
            <w:r w:rsidR="00305AEE" w:rsidRPr="000576BC">
              <w:rPr>
                <w:rFonts w:eastAsia="Calibri" w:cstheme="minorHAnsi"/>
              </w:rPr>
              <w:t xml:space="preserve">sde </w:t>
            </w:r>
            <w:r w:rsidRPr="000576BC">
              <w:rPr>
                <w:rFonts w:eastAsia="Calibri" w:cstheme="minorHAnsi"/>
              </w:rPr>
              <w:t xml:space="preserve">la </w:t>
            </w:r>
            <w:r w:rsidR="00305AEE" w:rsidRPr="000576BC">
              <w:rPr>
                <w:rFonts w:eastAsia="Calibri" w:cstheme="minorHAnsi"/>
              </w:rPr>
              <w:t xml:space="preserve">Secretaría de Extensión </w:t>
            </w:r>
            <w:r w:rsidR="00305AEE" w:rsidRPr="000576BC">
              <w:rPr>
                <w:rFonts w:eastAsia="Calibri" w:cstheme="minorHAnsi"/>
                <w:color w:val="000000"/>
              </w:rPr>
              <w:t>Social y Cultural</w:t>
            </w:r>
            <w:r w:rsidR="00305AEE" w:rsidRPr="000576BC">
              <w:rPr>
                <w:rFonts w:eastAsia="Calibri" w:cstheme="minorHAnsi"/>
              </w:rPr>
              <w:t>.</w:t>
            </w:r>
          </w:p>
        </w:tc>
      </w:tr>
      <w:tr w:rsidR="008E7194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194" w:rsidRPr="000576BC" w:rsidRDefault="008E7194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Semana del 2 de diciembre 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194" w:rsidRPr="000576BC" w:rsidRDefault="008E7194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Informe de resultados de la Convocatoria al Consejo Asesor para su debida notificación 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lastRenderedPageBreak/>
              <w:t>Semana del 10 de diciembre</w:t>
            </w:r>
            <w:r w:rsidR="008E7194" w:rsidRPr="000576BC">
              <w:rPr>
                <w:rFonts w:eastAsia="Calibri" w:cstheme="minorHAnsi"/>
              </w:rPr>
              <w:t xml:space="preserve"> de 2019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-</w:t>
            </w:r>
            <w:r w:rsidR="008E7194" w:rsidRPr="000576BC">
              <w:rPr>
                <w:rFonts w:eastAsia="Calibri" w:cstheme="minorHAnsi"/>
              </w:rPr>
              <w:t xml:space="preserve">Notificación de los resultados </w:t>
            </w:r>
            <w:r w:rsidRPr="000576BC">
              <w:rPr>
                <w:rFonts w:eastAsia="Calibri" w:cstheme="minorHAnsi"/>
              </w:rPr>
              <w:t>a los equipos docentes.</w:t>
            </w:r>
          </w:p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cstheme="minorHAnsi"/>
              </w:rPr>
            </w:pPr>
            <w:r w:rsidRPr="000576BC">
              <w:rPr>
                <w:rFonts w:eastAsia="Calibri" w:cstheme="minorHAnsi"/>
              </w:rPr>
              <w:t>-Realización de un taller organizativo junto a CEMED ( con firma de documento de Conformidad Docente)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8E7194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cstheme="minorHAnsi"/>
              </w:rPr>
              <w:t>Semana del 16 de marzo de 2020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Asesoramiento para el armado de materiales didácticos 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8E7194" w:rsidP="000576BC">
            <w:pPr>
              <w:spacing w:after="0" w:line="360" w:lineRule="auto"/>
              <w:jc w:val="both"/>
              <w:rPr>
                <w:rFonts w:cstheme="minorHAnsi"/>
              </w:rPr>
            </w:pPr>
            <w:r w:rsidRPr="000576BC">
              <w:rPr>
                <w:rFonts w:eastAsia="Calibri" w:cstheme="minorHAnsi"/>
              </w:rPr>
              <w:t>Semana del 6 de abril de 2020</w:t>
            </w:r>
          </w:p>
          <w:p w:rsidR="00305AEE" w:rsidRPr="000576BC" w:rsidRDefault="00305AEE" w:rsidP="000576BC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Preparación con el área de Comunicación  de la Difusión d</w:t>
            </w:r>
            <w:r w:rsidR="00BD3992">
              <w:rPr>
                <w:rFonts w:eastAsia="Calibri" w:cstheme="minorHAnsi"/>
              </w:rPr>
              <w:t>e la Convocatoria ordinaria 2020</w:t>
            </w:r>
            <w:r w:rsidRPr="000576BC">
              <w:rPr>
                <w:rFonts w:eastAsia="Calibri" w:cstheme="minorHAnsi"/>
              </w:rPr>
              <w:t xml:space="preserve"> (Diagramación de Afiches, Web, Spots, etc.)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Del </w:t>
            </w:r>
            <w:r w:rsidR="008E7194" w:rsidRPr="000576BC">
              <w:rPr>
                <w:rFonts w:eastAsia="Calibri" w:cstheme="minorHAnsi"/>
              </w:rPr>
              <w:t>13 de abril al 27 de abril de 2020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Difusión e inscripción a los CED </w:t>
            </w:r>
            <w:r w:rsidRPr="000576BC">
              <w:rPr>
                <w:rFonts w:eastAsia="Calibri" w:cstheme="minorHAnsi"/>
                <w:b/>
              </w:rPr>
              <w:t>1er cuatrimestre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Semana del </w:t>
            </w:r>
            <w:r w:rsidR="004C43D2" w:rsidRPr="000576BC">
              <w:rPr>
                <w:rFonts w:eastAsia="Calibri" w:cstheme="minorHAnsi"/>
              </w:rPr>
              <w:t>27 de abril de 2020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Definición de viabilidad financiera de cursos y admisibilidad de los inscriptos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Del </w:t>
            </w:r>
            <w:r w:rsidR="004C43D2" w:rsidRPr="000576BC">
              <w:rPr>
                <w:rFonts w:eastAsia="Calibri" w:cstheme="minorHAnsi"/>
              </w:rPr>
              <w:t>11 de mayo al 6 de julio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4C43D2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Implementación de los CED 2020</w:t>
            </w:r>
            <w:r w:rsidR="00305AEE" w:rsidRPr="000576BC">
              <w:rPr>
                <w:rFonts w:eastAsia="Calibri" w:cstheme="minorHAnsi"/>
                <w:b/>
              </w:rPr>
              <w:t>1er cuatrimestre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Del </w:t>
            </w:r>
            <w:r w:rsidR="004C43D2" w:rsidRPr="000576BC">
              <w:rPr>
                <w:rFonts w:eastAsia="Calibri" w:cstheme="minorHAnsi"/>
              </w:rPr>
              <w:t>3 de agosto al 17 de agosto de 2020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Difusión e inscripción a los CED 20</w:t>
            </w:r>
            <w:r w:rsidR="004C43D2" w:rsidRPr="000576BC">
              <w:rPr>
                <w:rFonts w:eastAsia="Calibri" w:cstheme="minorHAnsi"/>
              </w:rPr>
              <w:t>20</w:t>
            </w:r>
            <w:r w:rsidR="008062C0">
              <w:rPr>
                <w:rFonts w:eastAsia="Calibri" w:cstheme="minorHAnsi"/>
              </w:rPr>
              <w:t xml:space="preserve"> </w:t>
            </w:r>
            <w:r w:rsidRPr="000576BC">
              <w:rPr>
                <w:rFonts w:eastAsia="Calibri" w:cstheme="minorHAnsi"/>
                <w:b/>
              </w:rPr>
              <w:t>2do cuatrimestre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4C43D2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Semana del 24 de agosto de 2020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tabs>
                <w:tab w:val="left" w:pos="171"/>
              </w:tabs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>Definición de viabilidad financiera de cursos</w:t>
            </w:r>
          </w:p>
        </w:tc>
      </w:tr>
      <w:tr w:rsidR="00305AEE" w:rsidRPr="000576BC" w:rsidTr="00D51D70">
        <w:trPr>
          <w:trHeight w:val="823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305AEE" w:rsidP="000576BC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0576BC">
              <w:rPr>
                <w:rFonts w:eastAsia="Calibri" w:cstheme="minorHAnsi"/>
              </w:rPr>
              <w:t xml:space="preserve">Del </w:t>
            </w:r>
            <w:r w:rsidR="004C43D2" w:rsidRPr="000576BC">
              <w:rPr>
                <w:rFonts w:eastAsia="Calibri" w:cstheme="minorHAnsi"/>
              </w:rPr>
              <w:t>7</w:t>
            </w:r>
            <w:r w:rsidRPr="000576BC">
              <w:rPr>
                <w:rFonts w:eastAsia="Calibri" w:cstheme="minorHAnsi"/>
              </w:rPr>
              <w:t xml:space="preserve"> de septiembre al 2 de </w:t>
            </w:r>
            <w:r w:rsidR="004C43D2" w:rsidRPr="000576BC">
              <w:rPr>
                <w:rFonts w:eastAsia="Calibri" w:cstheme="minorHAnsi"/>
              </w:rPr>
              <w:t>diciembre de 2020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AEE" w:rsidRPr="000576BC" w:rsidRDefault="00BD3992" w:rsidP="00BD3992">
            <w:pPr>
              <w:tabs>
                <w:tab w:val="left" w:pos="171"/>
              </w:tabs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Implementación de los CED 2020</w:t>
            </w:r>
            <w:bookmarkStart w:id="0" w:name="_GoBack"/>
            <w:bookmarkEnd w:id="0"/>
            <w:r w:rsidR="00305AEE" w:rsidRPr="000576BC">
              <w:rPr>
                <w:rFonts w:eastAsia="Calibri" w:cstheme="minorHAnsi"/>
              </w:rPr>
              <w:t xml:space="preserve"> </w:t>
            </w:r>
            <w:r w:rsidR="00305AEE" w:rsidRPr="000576BC">
              <w:rPr>
                <w:rFonts w:eastAsia="Calibri" w:cstheme="minorHAnsi"/>
                <w:b/>
              </w:rPr>
              <w:t>2do cuatrimestre</w:t>
            </w:r>
            <w:r w:rsidR="00EB07D3" w:rsidRPr="000576BC">
              <w:rPr>
                <w:rFonts w:eastAsia="Calibri" w:cstheme="minorHAnsi"/>
                <w:b/>
              </w:rPr>
              <w:t xml:space="preserve"> </w:t>
            </w:r>
            <w:r w:rsidR="004C43D2" w:rsidRPr="000576BC">
              <w:rPr>
                <w:rFonts w:eastAsia="Calibri" w:cstheme="minorHAnsi"/>
              </w:rPr>
              <w:t>y confección de actas</w:t>
            </w:r>
          </w:p>
        </w:tc>
      </w:tr>
    </w:tbl>
    <w:p w:rsidR="00305AEE" w:rsidRDefault="00305AEE" w:rsidP="000576BC">
      <w:pPr>
        <w:spacing w:after="0" w:line="360" w:lineRule="auto"/>
        <w:jc w:val="both"/>
        <w:rPr>
          <w:rFonts w:cstheme="minorHAnsi"/>
        </w:rPr>
      </w:pPr>
    </w:p>
    <w:p w:rsidR="00305AEE" w:rsidRPr="000576BC" w:rsidRDefault="00305AEE" w:rsidP="000576BC">
      <w:pPr>
        <w:spacing w:after="0" w:line="360" w:lineRule="auto"/>
        <w:jc w:val="both"/>
        <w:rPr>
          <w:rFonts w:cstheme="minorHAnsi"/>
        </w:rPr>
      </w:pPr>
    </w:p>
    <w:sectPr w:rsidR="00305AEE" w:rsidRPr="000576BC" w:rsidSect="00D67288">
      <w:headerReference w:type="default" r:id="rId10"/>
      <w:footerReference w:type="default" r:id="rId11"/>
      <w:pgSz w:w="11906" w:h="16838" w:code="9"/>
      <w:pgMar w:top="1417" w:right="1701" w:bottom="1417" w:left="1701" w:header="720" w:footer="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9B" w:rsidRDefault="00B31C9B" w:rsidP="00305AEE">
      <w:pPr>
        <w:spacing w:after="0" w:line="240" w:lineRule="auto"/>
      </w:pPr>
      <w:r>
        <w:separator/>
      </w:r>
    </w:p>
  </w:endnote>
  <w:endnote w:type="continuationSeparator" w:id="0">
    <w:p w:rsidR="00B31C9B" w:rsidRDefault="00B31C9B" w:rsidP="0030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F5" w:rsidRDefault="000030F5"/>
  <w:p w:rsidR="000030F5" w:rsidRDefault="000030F5"/>
  <w:tbl>
    <w:tblPr>
      <w:tblW w:w="88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6"/>
      <w:gridCol w:w="2099"/>
      <w:gridCol w:w="4481"/>
    </w:tblGrid>
    <w:tr w:rsidR="0063112F" w:rsidRPr="000030F5" w:rsidTr="00D67288">
      <w:trPr>
        <w:trHeight w:val="2331"/>
      </w:trPr>
      <w:tc>
        <w:tcPr>
          <w:tcW w:w="2246" w:type="dxa"/>
        </w:tcPr>
        <w:p w:rsidR="0063112F" w:rsidRPr="000030F5" w:rsidRDefault="00D67288" w:rsidP="00D67288">
          <w:pPr>
            <w:pStyle w:val="Contenidodelatabla"/>
            <w:rPr>
              <w:rFonts w:ascii="Franklin Gothic Book" w:hAnsi="Franklin Gothic Book"/>
              <w:sz w:val="18"/>
              <w:szCs w:val="18"/>
            </w:rPr>
          </w:pPr>
          <w:r w:rsidRPr="00D67288">
            <w:rPr>
              <w:rFonts w:ascii="Franklin Gothic Book" w:hAnsi="Franklin Gothic Book"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889416</wp:posOffset>
                </wp:positionH>
                <wp:positionV relativeFrom="paragraph">
                  <wp:posOffset>129146</wp:posOffset>
                </wp:positionV>
                <wp:extent cx="4943453" cy="1629103"/>
                <wp:effectExtent l="19050" t="0" r="8890" b="0"/>
                <wp:wrapNone/>
                <wp:docPr id="3" name="Imagen 3" descr="UNL_pie_hoja_membretada_extensió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L_pie_hoja_membretada_extensió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46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4110" cy="163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99" w:type="dxa"/>
        </w:tcPr>
        <w:p w:rsidR="0063112F" w:rsidRPr="000030F5" w:rsidRDefault="00B31C9B" w:rsidP="000030F5">
          <w:pPr>
            <w:pStyle w:val="Contenidodelatabla"/>
            <w:rPr>
              <w:rFonts w:ascii="Franklin Gothic Book" w:hAnsi="Franklin Gothic Book"/>
              <w:sz w:val="18"/>
              <w:szCs w:val="18"/>
            </w:rPr>
          </w:pPr>
        </w:p>
      </w:tc>
      <w:tc>
        <w:tcPr>
          <w:tcW w:w="4481" w:type="dxa"/>
          <w:shd w:val="clear" w:color="auto" w:fill="auto"/>
        </w:tcPr>
        <w:p w:rsidR="0063112F" w:rsidRPr="000030F5" w:rsidRDefault="00B31C9B" w:rsidP="000030F5">
          <w:pPr>
            <w:pStyle w:val="Piedepgina"/>
            <w:spacing w:line="240" w:lineRule="auto"/>
            <w:jc w:val="right"/>
            <w:rPr>
              <w:rFonts w:ascii="Franklin Gothic Book" w:hAnsi="Franklin Gothic Book"/>
              <w:sz w:val="18"/>
              <w:szCs w:val="18"/>
            </w:rPr>
          </w:pPr>
        </w:p>
      </w:tc>
    </w:tr>
  </w:tbl>
  <w:p w:rsidR="0063112F" w:rsidRDefault="00B31C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9B" w:rsidRDefault="00B31C9B" w:rsidP="00305AEE">
      <w:pPr>
        <w:spacing w:after="0" w:line="240" w:lineRule="auto"/>
      </w:pPr>
      <w:r>
        <w:separator/>
      </w:r>
    </w:p>
  </w:footnote>
  <w:footnote w:type="continuationSeparator" w:id="0">
    <w:p w:rsidR="00B31C9B" w:rsidRDefault="00B31C9B" w:rsidP="00305AEE">
      <w:pPr>
        <w:spacing w:after="0" w:line="240" w:lineRule="auto"/>
      </w:pPr>
      <w:r>
        <w:continuationSeparator/>
      </w:r>
    </w:p>
  </w:footnote>
  <w:footnote w:id="1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Garantizar la salud, la prevención y el cuidado a lo largo de la vida. Prevención temprana de adicciones, consumos problemáticos y enfermedades transmisibles y crónicas. Salud sexual integral y reproductiva. Promover el cuidado y la salud, con especial atención en mujeres, niñas, niños, adolescentes, personas con discapacidad, personas mayores, LGBTIQ, migrantes y pueblos originarios. Promoción de hábitos saludables (alimentación, higiene, actividad física). Seguridad alimentaria. Educación y Seguridad vial.</w:t>
      </w:r>
    </w:p>
  </w:footnote>
  <w:footnote w:id="2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oportunidades de aprendizaje para todos y todas, durante toda la vida. Educación para el desarrollo y estilos de vida sostenibles. Derechos humanos, igualdad de género, promoción de la democratización de la cultura, y valoración de la diversidad. Creatividad y nuevos sentidos en educación. Alfabetización digital. Fomentar el uso de las TIC's para la generación de conocimientos compartidos, la resolución de problemas de la vida cotidiana y el desarrollo del trabajo colaborativo.</w:t>
      </w:r>
    </w:p>
  </w:footnote>
  <w:footnote w:id="3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la igualdad y no discriminación hacia mujeres, niñas, LGBTIQ. Facilitar la igualdad en el acceso a la educación, atención médica, trabajo, y representación en los procesos de decisiones políticas y económicas públicas. Eliminar todas las formas de violencia con las mujeres, las niñas, LGBTIQ en el ámbito público y privado, incluidas la trata y la explotación sexual y otros tipos de explotación. Promover el uso de lenguaje y comunicación no sexista.</w:t>
      </w:r>
    </w:p>
  </w:footnote>
  <w:footnote w:id="4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el acceso a servicios energéticos asequibles, seguros y sostenibles. Fomentar la utilización de tecnologías alternativas menos contaminantes (energías limpias). Impulsar el uso de recursos renovables, disminuyendo la utilización de combustibles con alto contenido de carbono.</w:t>
      </w:r>
    </w:p>
  </w:footnote>
  <w:footnote w:id="5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oportunidades y condiciones de trabajo inclusivas. Promover diversas modalidades en relación al trabajo y la economía (autoempleo, emprendimientos, emprendimientos asociativos, cooperativas).</w:t>
      </w:r>
    </w:p>
  </w:footnote>
  <w:footnote w:id="6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que las ciudades y los asentamientos humanos sean seguros, inclusivos, resilientes y sostenibles. Fomentar la urbanización inclusiva y sostenible, y la capacidad para la planificación y gestión participativa. Propiciar el acceso universal a zonas verdes y espacios públicos inclusivos y accesibles. Proteger y preservar el patrimonio cultural y natural. Contribuir al desarrollo de espacios, dispositivos y prácticas inclusivas y sostenibles de movilidad urbana.</w:t>
      </w:r>
    </w:p>
  </w:footnote>
  <w:footnote w:id="7">
    <w:p w:rsidR="00B70DBD" w:rsidRPr="002247CB" w:rsidRDefault="00B70DBD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Garantizar modalidades de consumo y producción sostenibles, promoviendo prácticas productivas y hábitos de consumo asociado</w:t>
      </w:r>
      <w:r w:rsidR="00A355F3" w:rsidRPr="002247CB">
        <w:rPr>
          <w:sz w:val="16"/>
          <w:szCs w:val="16"/>
        </w:rPr>
        <w:t>s a modos de vida sostenibles.</w:t>
      </w:r>
      <w:r w:rsidRPr="002247CB">
        <w:rPr>
          <w:sz w:val="16"/>
          <w:szCs w:val="16"/>
        </w:rPr>
        <w:t xml:space="preserve"> Fortalecer emprendimientos innovadores que acompañen </w:t>
      </w:r>
      <w:r w:rsidR="00A355F3" w:rsidRPr="002247CB">
        <w:rPr>
          <w:sz w:val="16"/>
          <w:szCs w:val="16"/>
        </w:rPr>
        <w:t xml:space="preserve">procesos productivos locales. </w:t>
      </w:r>
      <w:r w:rsidRPr="002247CB">
        <w:rPr>
          <w:sz w:val="16"/>
          <w:szCs w:val="16"/>
        </w:rPr>
        <w:t>Pr</w:t>
      </w:r>
      <w:r w:rsidR="00A355F3" w:rsidRPr="002247CB">
        <w:rPr>
          <w:sz w:val="16"/>
          <w:szCs w:val="16"/>
        </w:rPr>
        <w:t xml:space="preserve">omover el Turismo sostenible. </w:t>
      </w:r>
      <w:r w:rsidRPr="002247CB">
        <w:rPr>
          <w:sz w:val="16"/>
          <w:szCs w:val="16"/>
        </w:rPr>
        <w:t>Promover agricultura ecológica, emprendimientos socio-productivos asociados a espacios periurbanos y rurales. Agricultura familiar y producción orgánica. Soberanía Alimentaria.</w:t>
      </w:r>
    </w:p>
  </w:footnote>
  <w:footnote w:id="8">
    <w:p w:rsidR="008E25A7" w:rsidRPr="002247CB" w:rsidRDefault="008E25A7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la conservación, revalorización de medidas que promuevan la biodiversidad local. Gestión y sostenimiento. Promover el acceso al agua potable y su gestión sostenible. Impulsar la conservación, el restablecimiento y el uso sostenible de los ecosistemas terrestres y los interiores de agua dulce y sus servicios, en particular los humedales de la región. Aportar acciones para reducir la problemática de la desertificación, rehabilitación de tierras y suelos degradados. Fomentar estrategias de saneamiento ambiental.</w:t>
      </w:r>
    </w:p>
  </w:footnote>
  <w:footnote w:id="9">
    <w:p w:rsidR="00DF4B3B" w:rsidRPr="002247CB" w:rsidRDefault="00DF4B3B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Garantizar el máximo nivel de participación e igualdad en todos los ámbitos de la vida pública y privada de mujeres, niñas, niños y adolescentes, personas mayores, migrantes, y pueblos originarios. Fortalecer las condiciones de acceso efectivo a la justicia de las personas en condición de vulnerabilidad englobando el conjunto de políticas, medidas, facilidades y apoyos que permitan a dichas personas el pleno goce de los servicios del sistema judicial.</w:t>
      </w:r>
    </w:p>
  </w:footnote>
  <w:footnote w:id="10">
    <w:p w:rsidR="00DF4B3B" w:rsidRPr="002247CB" w:rsidRDefault="00DF4B3B" w:rsidP="002247CB">
      <w:pPr>
        <w:pStyle w:val="Textonotapie"/>
        <w:spacing w:after="0" w:line="240" w:lineRule="auto"/>
        <w:ind w:left="0" w:firstLine="0"/>
        <w:jc w:val="both"/>
        <w:rPr>
          <w:sz w:val="16"/>
          <w:szCs w:val="16"/>
        </w:rPr>
      </w:pPr>
      <w:r w:rsidRPr="002247CB">
        <w:rPr>
          <w:rStyle w:val="Refdenotaalpie"/>
          <w:sz w:val="16"/>
          <w:szCs w:val="16"/>
        </w:rPr>
        <w:footnoteRef/>
      </w:r>
      <w:r w:rsidRPr="002247CB">
        <w:rPr>
          <w:sz w:val="16"/>
          <w:szCs w:val="16"/>
        </w:rPr>
        <w:t xml:space="preserve"> Promover el desarrollo de la diversidad cultural de las comunidades y grupos sociales, desde una concepción holística e integrada de forma operativa a los procesos de desarrollo sostenible. Identificar el patrimonio (tangible e intangible), y la creatividad (como recurso humano inmanente) como ejes fundamentales para el abordaje del desarrollo sostenible en ciudades y regiones. Reconocer y valorar la dimensión simbólica de las prácticas sociales (oficios y saberes). Fomentar la creatividad e innovación, basadas en el conocimiento y las identidades sociales. Contribuir al reconocimiento, desarrollo y accesibilidad de las infraestructuras de la cultura (bibliotecas, museos, centros comunitarios y de educación artística).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6F" w:rsidRDefault="0044056F">
    <w:pPr>
      <w:pStyle w:val="Encabezado"/>
    </w:pPr>
    <w:r w:rsidRPr="0044056F">
      <w:rPr>
        <w:noProof/>
        <w:lang w:val="es-AR" w:eastAsia="es-AR"/>
      </w:rPr>
      <w:drawing>
        <wp:inline distT="0" distB="0" distL="0" distR="0">
          <wp:extent cx="5400040" cy="1438106"/>
          <wp:effectExtent l="19050" t="0" r="0" b="0"/>
          <wp:docPr id="1" name="Imagen 1" descr="encabezado_int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_inte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38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AEE"/>
    <w:rsid w:val="0000003B"/>
    <w:rsid w:val="000030F5"/>
    <w:rsid w:val="00014C35"/>
    <w:rsid w:val="00021443"/>
    <w:rsid w:val="000540E2"/>
    <w:rsid w:val="000576BC"/>
    <w:rsid w:val="00096611"/>
    <w:rsid w:val="000D11E3"/>
    <w:rsid w:val="000E3F79"/>
    <w:rsid w:val="001327A4"/>
    <w:rsid w:val="001365CD"/>
    <w:rsid w:val="00142F45"/>
    <w:rsid w:val="00185657"/>
    <w:rsid w:val="001C4B99"/>
    <w:rsid w:val="002247CB"/>
    <w:rsid w:val="002445F2"/>
    <w:rsid w:val="0028472F"/>
    <w:rsid w:val="002C69E5"/>
    <w:rsid w:val="002E1C19"/>
    <w:rsid w:val="00305AEE"/>
    <w:rsid w:val="003062A5"/>
    <w:rsid w:val="00325D58"/>
    <w:rsid w:val="003479AE"/>
    <w:rsid w:val="00375C1D"/>
    <w:rsid w:val="003D4A88"/>
    <w:rsid w:val="003E3449"/>
    <w:rsid w:val="0044056F"/>
    <w:rsid w:val="004B48F2"/>
    <w:rsid w:val="004C43D2"/>
    <w:rsid w:val="00553B90"/>
    <w:rsid w:val="005B71B2"/>
    <w:rsid w:val="005D6103"/>
    <w:rsid w:val="005F4EB0"/>
    <w:rsid w:val="00624C57"/>
    <w:rsid w:val="006338A7"/>
    <w:rsid w:val="006A122E"/>
    <w:rsid w:val="006B0E51"/>
    <w:rsid w:val="00717629"/>
    <w:rsid w:val="0071782A"/>
    <w:rsid w:val="007A6E07"/>
    <w:rsid w:val="008062C0"/>
    <w:rsid w:val="008D4ACC"/>
    <w:rsid w:val="008E25A7"/>
    <w:rsid w:val="008E7194"/>
    <w:rsid w:val="00903567"/>
    <w:rsid w:val="00972525"/>
    <w:rsid w:val="00984121"/>
    <w:rsid w:val="009E1E9C"/>
    <w:rsid w:val="00A03A74"/>
    <w:rsid w:val="00A355F3"/>
    <w:rsid w:val="00A867B4"/>
    <w:rsid w:val="00B31C9B"/>
    <w:rsid w:val="00B633E0"/>
    <w:rsid w:val="00B70DBD"/>
    <w:rsid w:val="00BB35A5"/>
    <w:rsid w:val="00BB4434"/>
    <w:rsid w:val="00BD0731"/>
    <w:rsid w:val="00BD3992"/>
    <w:rsid w:val="00C14A18"/>
    <w:rsid w:val="00C66490"/>
    <w:rsid w:val="00C94888"/>
    <w:rsid w:val="00C97048"/>
    <w:rsid w:val="00D67288"/>
    <w:rsid w:val="00D943C3"/>
    <w:rsid w:val="00DF4B3B"/>
    <w:rsid w:val="00E31854"/>
    <w:rsid w:val="00E401D9"/>
    <w:rsid w:val="00EB07D3"/>
    <w:rsid w:val="00F6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B50A"/>
  <w15:docId w15:val="{F26B0168-4B72-45C4-903E-A875A9B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21"/>
  </w:style>
  <w:style w:type="paragraph" w:styleId="Ttulo1">
    <w:name w:val="heading 1"/>
    <w:basedOn w:val="Normal"/>
    <w:next w:val="Textoindependiente"/>
    <w:link w:val="Ttulo1Car"/>
    <w:qFormat/>
    <w:rsid w:val="00305AEE"/>
    <w:pPr>
      <w:keepNext/>
      <w:suppressAutoHyphens/>
      <w:spacing w:before="120" w:after="0" w:line="100" w:lineRule="atLeast"/>
      <w:jc w:val="both"/>
      <w:outlineLvl w:val="0"/>
    </w:pPr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5AEE"/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character" w:styleId="Hipervnculo">
    <w:name w:val="Hyperlink"/>
    <w:rsid w:val="00305AEE"/>
    <w:rPr>
      <w:color w:val="0000FF"/>
      <w:u w:val="single"/>
    </w:rPr>
  </w:style>
  <w:style w:type="character" w:styleId="Refdenotaalpie">
    <w:name w:val="footnote reference"/>
    <w:rsid w:val="00305AEE"/>
    <w:rPr>
      <w:vertAlign w:val="superscript"/>
    </w:rPr>
  </w:style>
  <w:style w:type="paragraph" w:customStyle="1" w:styleId="Prrafodelista1">
    <w:name w:val="Párrafo de lista1"/>
    <w:basedOn w:val="Normal"/>
    <w:rsid w:val="00305AE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Piedepgina">
    <w:name w:val="footer"/>
    <w:basedOn w:val="Normal"/>
    <w:link w:val="PiedepginaCar"/>
    <w:rsid w:val="00305AEE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PiedepginaCar">
    <w:name w:val="Pie de página Car"/>
    <w:basedOn w:val="Fuentedeprrafopredeter"/>
    <w:link w:val="Piedepgina"/>
    <w:rsid w:val="00305AEE"/>
    <w:rPr>
      <w:rFonts w:ascii="Calibri" w:eastAsia="SimSun" w:hAnsi="Calibri" w:cs="Calibri"/>
      <w:kern w:val="1"/>
      <w:lang w:eastAsia="ar-SA"/>
    </w:rPr>
  </w:style>
  <w:style w:type="paragraph" w:styleId="Textonotapie">
    <w:name w:val="footnote text"/>
    <w:basedOn w:val="Normal"/>
    <w:link w:val="TextonotapieCar"/>
    <w:rsid w:val="00305AEE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305AEE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305A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5A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5AEE"/>
  </w:style>
  <w:style w:type="character" w:styleId="Refdecomentario">
    <w:name w:val="annotation reference"/>
    <w:basedOn w:val="Fuentedeprrafopredeter"/>
    <w:uiPriority w:val="99"/>
    <w:semiHidden/>
    <w:unhideWhenUsed/>
    <w:rsid w:val="000D1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1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1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1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32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27A4"/>
  </w:style>
  <w:style w:type="table" w:styleId="Tablaconcuadrcula">
    <w:name w:val="Table Grid"/>
    <w:basedOn w:val="Tablanormal"/>
    <w:uiPriority w:val="59"/>
    <w:rsid w:val="00057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@unl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rsos@unl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878-EDD9-4535-8E4E-EF4804B6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Memi</cp:lastModifiedBy>
  <cp:revision>3</cp:revision>
  <cp:lastPrinted>2019-08-26T16:02:00Z</cp:lastPrinted>
  <dcterms:created xsi:type="dcterms:W3CDTF">2019-10-08T16:49:00Z</dcterms:created>
  <dcterms:modified xsi:type="dcterms:W3CDTF">2019-10-09T13:26:00Z</dcterms:modified>
</cp:coreProperties>
</file>