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B7" w:rsidRDefault="008A70DC">
      <w:pPr>
        <w:spacing w:after="0" w:line="240" w:lineRule="auto"/>
        <w:jc w:val="both"/>
        <w:rPr>
          <w:rFonts w:ascii="Neue Haas Grotesk Text Pro" w:eastAsia="Yu Gothic" w:hAnsi="Neue Haas Grotesk Text Pro" w:cs="Devanagari Sangam MN" w:hint="eastAsia"/>
          <w:b/>
          <w:sz w:val="32"/>
          <w:szCs w:val="48"/>
          <w:lang w:val="es-ES_tradnl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-327660</wp:posOffset>
            </wp:positionV>
            <wp:extent cx="2560320" cy="850900"/>
            <wp:effectExtent l="0" t="0" r="0" b="0"/>
            <wp:wrapSquare wrapText="bothSides"/>
            <wp:docPr id="1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eue Haas Grotesk Text Pro" w:eastAsia="Yu Gothic" w:hAnsi="Neue Haas Grotesk Text Pro" w:cs="Devanagari Sangam MN"/>
          <w:b/>
          <w:sz w:val="36"/>
          <w:szCs w:val="52"/>
          <w:lang w:val="es-ES_tradnl"/>
        </w:rPr>
        <w:t>C</w:t>
      </w:r>
      <w:r>
        <w:rPr>
          <w:rFonts w:ascii="Neue Haas Grotesk Text Pro" w:eastAsia="Yu Gothic" w:hAnsi="Neue Haas Grotesk Text Pro" w:cs="Devanagari Sangam MN"/>
          <w:b/>
          <w:sz w:val="32"/>
          <w:szCs w:val="48"/>
          <w:lang w:val="es-ES_tradnl"/>
        </w:rPr>
        <w:t>onvocatoria:</w:t>
      </w:r>
    </w:p>
    <w:p w:rsidR="00B157B7" w:rsidRDefault="008A70DC">
      <w:pPr>
        <w:outlineLvl w:val="0"/>
        <w:rPr>
          <w:rFonts w:ascii="Neue Haas Grotesk Text Pro" w:eastAsia="Yu Gothic" w:hAnsi="Neue Haas Grotesk Text Pro" w:cs="Devanagari Sangam MN" w:hint="eastAsia"/>
          <w:bCs/>
          <w:lang w:val="es-ES_tradnl"/>
        </w:rPr>
      </w:pPr>
      <w:r w:rsidRPr="006F2537">
        <w:rPr>
          <w:rFonts w:ascii="Neue Haas Grotesk Text Pro" w:eastAsia="Yu Gothic" w:hAnsi="Neue Haas Grotesk Text Pro" w:cs="Devanagari Sangam MN"/>
          <w:bCs/>
          <w:sz w:val="28"/>
          <w:szCs w:val="28"/>
        </w:rPr>
        <w:t>Arquitectura con niños</w:t>
      </w:r>
    </w:p>
    <w:p w:rsidR="00B157B7" w:rsidRDefault="008A70DC">
      <w:pPr>
        <w:outlineLvl w:val="0"/>
        <w:rPr>
          <w:rFonts w:ascii="Neue Haas Grotesk Text Pro" w:eastAsia="Yu Gothic" w:hAnsi="Neue Haas Grotesk Text Pro" w:cs="Devanagari Sangam MN" w:hint="eastAsia"/>
          <w:bCs/>
          <w:sz w:val="16"/>
          <w:szCs w:val="16"/>
          <w:lang w:val="es-ES_tradnl"/>
        </w:rPr>
      </w:pPr>
      <w:r>
        <w:rPr>
          <w:rFonts w:ascii="Neue Haas Grotesk Text Pro" w:eastAsia="Yu Gothic" w:hAnsi="Neue Haas Grotesk Text Pro" w:cs="Devanagari Sangam MN"/>
          <w:bCs/>
          <w:sz w:val="16"/>
          <w:szCs w:val="16"/>
          <w:lang w:val="es-ES_tradnl"/>
        </w:rPr>
        <w:t>Envío Artículos: diciembre 15 del 2021 a marzo 1 del 2022</w:t>
      </w:r>
    </w:p>
    <w:p w:rsidR="00B157B7" w:rsidRPr="006F2537" w:rsidRDefault="00B157B7">
      <w:pPr>
        <w:outlineLvl w:val="0"/>
        <w:rPr>
          <w:rFonts w:ascii="Neue Haas Grotesk Text Pro" w:eastAsia="Yu Gothic" w:hAnsi="Neue Haas Grotesk Text Pro" w:cs="Devanagari Sangam MN" w:hint="eastAsia"/>
          <w:bCs/>
          <w:sz w:val="21"/>
          <w:szCs w:val="21"/>
        </w:rPr>
      </w:pPr>
    </w:p>
    <w:p w:rsidR="00B157B7" w:rsidRPr="006F2537" w:rsidRDefault="00B157B7">
      <w:pPr>
        <w:outlineLvl w:val="0"/>
        <w:rPr>
          <w:rFonts w:ascii="Neue Haas Grotesk Text Pro" w:eastAsia="Yu Gothic" w:hAnsi="Neue Haas Grotesk Text Pro" w:cs="Devanagari Sangam MN" w:hint="eastAsia"/>
          <w:bCs/>
          <w:sz w:val="28"/>
          <w:szCs w:val="28"/>
        </w:rPr>
      </w:pPr>
    </w:p>
    <w:p w:rsidR="00B157B7" w:rsidRPr="006F2537" w:rsidRDefault="00B157B7">
      <w:pPr>
        <w:spacing w:after="0"/>
        <w:jc w:val="center"/>
        <w:rPr>
          <w:rFonts w:ascii="Neue Haas Grotesk Text Pro" w:eastAsia="Yu Gothic" w:hAnsi="Neue Haas Grotesk Text Pro" w:cs="DecoType Naskh" w:hint="eastAsia"/>
          <w:b/>
          <w:sz w:val="20"/>
          <w:szCs w:val="20"/>
        </w:rPr>
      </w:pPr>
    </w:p>
    <w:p w:rsidR="00B157B7" w:rsidRDefault="00B157B7">
      <w:pPr>
        <w:sectPr w:rsidR="00B157B7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</w:p>
    <w:p w:rsidR="00B157B7" w:rsidRDefault="008A70DC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Actualmente, numerosos profesionales en el mundo trabajan en un marco acotado por tres palabras: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infancia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,</w:t>
      </w:r>
      <w:r>
        <w:rPr>
          <w:rStyle w:val="Ancladenotaalpie"/>
          <w:rFonts w:ascii="Neue Haas Grotesk Text Pro" w:eastAsia="Yu Gothic" w:hAnsi="Neue Haas Grotesk Text Pro" w:cs="Devanagari Sangam MN"/>
          <w:sz w:val="20"/>
          <w:szCs w:val="20"/>
        </w:rPr>
        <w:footnoteReference w:id="1"/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arquitectura</w:t>
      </w:r>
      <w:r>
        <w:rPr>
          <w:rStyle w:val="Ancladenotaalpie"/>
          <w:rFonts w:ascii="Neue Haas Grotesk Text Pro" w:eastAsia="Yu Gothic" w:hAnsi="Neue Haas Grotesk Text Pro" w:cs="Devanagari Sangam MN"/>
          <w:sz w:val="20"/>
          <w:szCs w:val="20"/>
        </w:rPr>
        <w:footnoteReference w:id="2"/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y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educación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. 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Algunos diseñan espacios para el aprendizaje, entornos de cuidado, zonas de juego, espacios urbanos, parques y jardines. Otros se concentran en la regeneración de barrios y localidades para que la infancia y sus cuidadores adultos vivan con mayor confort y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seguridad. Están aquellos quienes elaboran materiales didácticos o lúdicos para cubrir necesidades curriculares tanto de la educación obligatoria como para el juego voluntario. Sobre el aprendizaje de la arquitectura en la infancia y juventud —como otra d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e las líneas de trabajo—, hay quienes se enfocan en lo artístico, lo técnico o lo social. También existen profesionales que aproximan la arquitectura al profesorado escolar, para que usen los espacios y mobiliarios con mayor y mejor efecto pedagógico. Y no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podemos dejar de lado las investigaciones más recientes sobre el desarrollo del cerebro infantil, la construcción de la orientación espacial y el mundo visual, que de la neurociencia nos lleva a la </w:t>
      </w:r>
      <w:proofErr w:type="spellStart"/>
      <w:r>
        <w:rPr>
          <w:rFonts w:ascii="Neue Haas Grotesk Text Pro" w:eastAsia="Yu Gothic" w:hAnsi="Neue Haas Grotesk Text Pro" w:cs="Devanagari Sangam MN"/>
          <w:sz w:val="20"/>
          <w:szCs w:val="20"/>
        </w:rPr>
        <w:t>neuroarquitectura</w:t>
      </w:r>
      <w:proofErr w:type="spellEnd"/>
      <w:r>
        <w:rPr>
          <w:rFonts w:ascii="Neue Haas Grotesk Text Pro" w:eastAsia="Yu Gothic" w:hAnsi="Neue Haas Grotesk Text Pro" w:cs="Devanagari Sangam MN"/>
          <w:sz w:val="20"/>
          <w:szCs w:val="20"/>
        </w:rPr>
        <w:t>.</w:t>
      </w:r>
    </w:p>
    <w:p w:rsidR="00B157B7" w:rsidRDefault="00B157B7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</w:p>
    <w:p w:rsidR="00B157B7" w:rsidRDefault="008A70DC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  <w:r>
        <w:rPr>
          <w:rFonts w:ascii="Neue Haas Grotesk Text Pro" w:eastAsia="Yu Gothic" w:hAnsi="Neue Haas Grotesk Text Pro" w:cs="Devanagari Sangam MN"/>
          <w:sz w:val="20"/>
          <w:szCs w:val="20"/>
        </w:rPr>
        <w:t>Tal vez los grupos que citamos no son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todos los existentes, pero son útiles para configurar un mapa complejo y actual, con diversidad de estudios y actuaciones, cuyo denominador común es la exploración en las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artes espaciales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y su vinculación con el desarrollo de la persona desde los primeros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días de vida. El cuerpo crece dentro de un contexto físico y cultural, la persona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se forma (toma forma)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en atmósferas sociales y económicas específicas; la cultura que acoge a la infancia la esculpe a su imagen y semejanza. A la vez, cada gesto de su infa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ncia transforma la atmósfera que la contiene. Los proyectos que hacemos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con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la infancia —y no solo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para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la 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infancia— nos transforman como individuos y como sociedad.</w:t>
      </w:r>
    </w:p>
    <w:p w:rsidR="00B157B7" w:rsidRDefault="00B157B7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</w:p>
    <w:p w:rsidR="00B157B7" w:rsidRDefault="008A70DC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La infancia tiene tres necesidades básicas: las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físicas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, es decir, hambre, frío, sueño… Y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ante ellas debemos responder con protección, cuidado, salud, alimento, confort y cariño; las necesidades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éticas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,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 xml:space="preserve"> 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que nos obligan a tratar a la infancia con respeto ciudadano, a proporcionarles maestros, escuelas y hospitales, por ejemplo, y las necesidade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estéticas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>, que reclaman armonía en la convivencia reflejada en el mundo construido con belleza, porque esta cualidad placentera, ética y estética provoca la bondad, la solidaridad, la generosidad, la entrega y la búsqueda del bien común.</w:t>
      </w:r>
    </w:p>
    <w:p w:rsidR="00B157B7" w:rsidRDefault="008A70DC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</w:t>
      </w:r>
    </w:p>
    <w:p w:rsidR="00B157B7" w:rsidRDefault="008A70DC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  <w:r>
        <w:rPr>
          <w:rFonts w:ascii="Neue Haas Grotesk Text Pro" w:eastAsia="Yu Gothic" w:hAnsi="Neue Haas Grotesk Text Pro" w:cs="Devanagari Sangam MN"/>
          <w:sz w:val="20"/>
          <w:szCs w:val="20"/>
        </w:rPr>
        <w:t>Los editores i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nvitados de este número de la revista </w:t>
      </w:r>
      <w:proofErr w:type="spellStart"/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Dearq</w:t>
      </w:r>
      <w:proofErr w:type="spellEnd"/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convocan a los investigadores del mundo a participar con artículos sobre sus recientes estudios dentro del marco de esta reflexión. Apreciaremos aquellos artículos que sean investigaciones académicas y proyectos 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prácticos a la vez, en especial en América Latina. Valoraremos positivamente que, tras diagnosticar bien las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necesidades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de infancias concretas, se hayan definido con claridad los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objetivos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que están por cumplir, para luego diseñar una buena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participación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infantil y juvenil que desemboque en la </w:t>
      </w:r>
      <w:r>
        <w:rPr>
          <w:rFonts w:ascii="Neue Haas Grotesk Text Pro" w:eastAsia="Yu Gothic" w:hAnsi="Neue Haas Grotesk Text Pro" w:cs="Devanagari Sangam MN"/>
          <w:i/>
          <w:iCs/>
          <w:sz w:val="20"/>
          <w:szCs w:val="20"/>
        </w:rPr>
        <w:t>transformación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 personal y colectiva de los participantes en el proceso, además de haber transformado espacios, ambientes u objetos.</w:t>
      </w:r>
    </w:p>
    <w:p w:rsidR="00B157B7" w:rsidRDefault="008A70DC">
      <w:pPr>
        <w:spacing w:after="0"/>
        <w:jc w:val="both"/>
      </w:pPr>
      <w:r>
        <w:rPr>
          <w:rFonts w:ascii="Neue Haas Grotesk Text Pro" w:eastAsia="Yu Gothic" w:hAnsi="Neue Haas Grotesk Text Pro" w:cs="Devanagari Sangam MN"/>
          <w:sz w:val="20"/>
          <w:szCs w:val="20"/>
        </w:rPr>
        <w:t>Los artículos de investigación objeto de esta convocatoria deben ajustarse a la polí</w:t>
      </w:r>
      <w:r>
        <w:rPr>
          <w:rFonts w:ascii="Neue Haas Grotesk Text Pro" w:eastAsia="Yu Gothic" w:hAnsi="Neue Haas Grotesk Text Pro" w:cs="Devanagari Sangam MN"/>
          <w:sz w:val="20"/>
          <w:szCs w:val="20"/>
        </w:rPr>
        <w:t xml:space="preserve">tica editorial de la revista: </w:t>
      </w:r>
      <w:hyperlink r:id="rId7">
        <w:bookmarkStart w:id="1" w:name="__DdeLink__97_2001651048"/>
        <w:r>
          <w:rPr>
            <w:rStyle w:val="EnlacedeInternet"/>
            <w:rFonts w:ascii="Neue Haas Grotesk Text Pro" w:eastAsia="Yu Gothic" w:hAnsi="Neue Haas Grotesk Text Pro" w:cs="Devanagari Sangam MN"/>
            <w:sz w:val="20"/>
            <w:szCs w:val="20"/>
          </w:rPr>
          <w:t>https://revistas.uniandes.edu.co/for-authors/dearq/editorial-policy</w:t>
        </w:r>
      </w:hyperlink>
      <w:bookmarkEnd w:id="1"/>
    </w:p>
    <w:p w:rsidR="00B157B7" w:rsidRDefault="00B157B7">
      <w:pPr>
        <w:sectPr w:rsidR="00B157B7">
          <w:type w:val="continuous"/>
          <w:pgSz w:w="11906" w:h="16838"/>
          <w:pgMar w:top="1417" w:right="1701" w:bottom="1417" w:left="1701" w:header="0" w:footer="0" w:gutter="0"/>
          <w:cols w:num="2" w:space="708"/>
          <w:formProt w:val="0"/>
          <w:docGrid w:linePitch="360" w:charSpace="4096"/>
        </w:sectPr>
      </w:pPr>
    </w:p>
    <w:p w:rsidR="00B157B7" w:rsidRDefault="00B157B7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1"/>
          <w:szCs w:val="21"/>
        </w:rPr>
      </w:pPr>
    </w:p>
    <w:p w:rsidR="00B157B7" w:rsidRDefault="00B157B7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1"/>
          <w:szCs w:val="21"/>
        </w:rPr>
      </w:pPr>
    </w:p>
    <w:p w:rsidR="00B157B7" w:rsidRDefault="00B157B7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1"/>
          <w:szCs w:val="21"/>
        </w:rPr>
      </w:pPr>
    </w:p>
    <w:p w:rsidR="00B157B7" w:rsidRDefault="008A70DC">
      <w:pPr>
        <w:spacing w:after="0"/>
        <w:jc w:val="both"/>
        <w:rPr>
          <w:rFonts w:ascii="Neue Haas Grotesk Text Pro" w:eastAsia="Yu Gothic" w:hAnsi="Neue Haas Grotesk Text Pro" w:cs="Devanagari Sangam MN" w:hint="eastAsia"/>
          <w:sz w:val="28"/>
          <w:szCs w:val="28"/>
        </w:rPr>
      </w:pPr>
      <w:r>
        <w:rPr>
          <w:rFonts w:ascii="Neue Haas Grotesk Text Pro" w:eastAsia="Yu Gothic" w:hAnsi="Neue Haas Grotesk Text Pro" w:cs="Devanagari Sangam MN"/>
          <w:sz w:val="32"/>
          <w:szCs w:val="32"/>
        </w:rPr>
        <w:t>E</w:t>
      </w:r>
      <w:r>
        <w:rPr>
          <w:rFonts w:ascii="Neue Haas Grotesk Text Pro" w:eastAsia="Yu Gothic" w:hAnsi="Neue Haas Grotesk Text Pro" w:cs="Devanagari Sangam MN"/>
          <w:sz w:val="28"/>
          <w:szCs w:val="28"/>
        </w:rPr>
        <w:t>ditores Invitados:</w:t>
      </w:r>
    </w:p>
    <w:p w:rsidR="00B157B7" w:rsidRDefault="00B157B7">
      <w:pPr>
        <w:spacing w:after="0"/>
        <w:jc w:val="both"/>
        <w:rPr>
          <w:rFonts w:ascii="Neue Haas Grotesk Text Pro" w:eastAsia="Yu Gothic" w:hAnsi="Neue Haas Grotesk Text Pro" w:cs="Devanagari Sangam MN" w:hint="eastAsia"/>
        </w:rPr>
      </w:pPr>
    </w:p>
    <w:p w:rsidR="00B157B7" w:rsidRDefault="008A70DC">
      <w:pPr>
        <w:spacing w:after="0" w:line="240" w:lineRule="atLeast"/>
        <w:jc w:val="both"/>
        <w:rPr>
          <w:rFonts w:ascii="Neue Haas Grotesk Text Pro" w:eastAsia="Yu Gothic" w:hAnsi="Neue Haas Grotesk Text Pro" w:cs="Devanagari Sangam MN" w:hint="eastAsia"/>
          <w:b/>
          <w:bCs/>
          <w:sz w:val="20"/>
          <w:szCs w:val="20"/>
        </w:rPr>
      </w:pPr>
      <w:r>
        <w:rPr>
          <w:rFonts w:ascii="Neue Haas Grotesk Text Pro" w:eastAsia="Yu Gothic" w:hAnsi="Neue Haas Grotesk Text Pro" w:cs="Devanagari Sangam MN"/>
          <w:b/>
          <w:bCs/>
          <w:sz w:val="20"/>
          <w:szCs w:val="20"/>
        </w:rPr>
        <w:t>Tatiana Urrea</w:t>
      </w:r>
    </w:p>
    <w:p w:rsidR="00B157B7" w:rsidRDefault="008A70DC">
      <w:pPr>
        <w:spacing w:after="0" w:line="240" w:lineRule="atLeast"/>
        <w:jc w:val="both"/>
        <w:rPr>
          <w:rFonts w:ascii="Neue Haas Grotesk Text Pro" w:eastAsia="Yu Gothic" w:hAnsi="Neue Haas Grotesk Text Pro" w:cs="Devanagari Sangam MN" w:hint="eastAsia"/>
          <w:sz w:val="18"/>
          <w:szCs w:val="18"/>
        </w:rPr>
      </w:pPr>
      <w:r>
        <w:rPr>
          <w:rFonts w:ascii="Neue Haas Grotesk Text Pro" w:eastAsia="Yu Gothic" w:hAnsi="Neue Haas Grotesk Text Pro" w:cs="Devanagari Sangam MN"/>
          <w:sz w:val="18"/>
          <w:szCs w:val="18"/>
        </w:rPr>
        <w:t>tatianaurrea@gmail.com</w:t>
      </w:r>
    </w:p>
    <w:p w:rsidR="00B157B7" w:rsidRDefault="008A70DC">
      <w:pPr>
        <w:spacing w:after="0" w:line="240" w:lineRule="atLeast"/>
        <w:jc w:val="both"/>
        <w:rPr>
          <w:rFonts w:ascii="Neue Haas Grotesk Text Pro" w:eastAsia="Yu Gothic" w:hAnsi="Neue Haas Grotesk Text Pro" w:cs="Devanagari Sangam MN" w:hint="eastAsia"/>
          <w:sz w:val="18"/>
          <w:szCs w:val="18"/>
          <w:lang w:val="es-CO"/>
        </w:rPr>
      </w:pPr>
      <w:r>
        <w:rPr>
          <w:rFonts w:ascii="Neue Haas Grotesk Text Pro" w:eastAsia="Yu Gothic" w:hAnsi="Neue Haas Grotesk Text Pro" w:cs="Devanagari Sangam MN"/>
          <w:sz w:val="18"/>
          <w:szCs w:val="18"/>
          <w:lang w:val="es-CO"/>
        </w:rPr>
        <w:t>Universidad Nacional de Colombia</w:t>
      </w:r>
    </w:p>
    <w:p w:rsidR="00B157B7" w:rsidRDefault="00B157B7">
      <w:pPr>
        <w:spacing w:after="0" w:line="240" w:lineRule="atLeast"/>
        <w:jc w:val="both"/>
        <w:rPr>
          <w:rFonts w:ascii="Neue Haas Grotesk Text Pro" w:eastAsia="Yu Gothic" w:hAnsi="Neue Haas Grotesk Text Pro" w:cs="Devanagari Sangam MN" w:hint="eastAsia"/>
          <w:sz w:val="20"/>
          <w:szCs w:val="20"/>
        </w:rPr>
      </w:pPr>
    </w:p>
    <w:p w:rsidR="00B157B7" w:rsidRDefault="008A70DC">
      <w:pPr>
        <w:spacing w:after="0"/>
        <w:jc w:val="both"/>
      </w:pPr>
      <w:r>
        <w:rPr>
          <w:rFonts w:ascii="Neue Haas Grotesk Text Pro" w:eastAsia="Yu Gothic" w:hAnsi="Neue Haas Grotesk Text Pro" w:cs="Devanagari Sangam MN"/>
          <w:b/>
          <w:bCs/>
          <w:sz w:val="20"/>
          <w:szCs w:val="20"/>
        </w:rPr>
        <w:t xml:space="preserve">Jorge </w:t>
      </w:r>
      <w:proofErr w:type="spellStart"/>
      <w:r>
        <w:rPr>
          <w:rFonts w:ascii="Neue Haas Grotesk Text Pro" w:eastAsia="Yu Gothic" w:hAnsi="Neue Haas Grotesk Text Pro" w:cs="Devanagari Sangam MN"/>
          <w:b/>
          <w:bCs/>
          <w:sz w:val="20"/>
          <w:szCs w:val="20"/>
        </w:rPr>
        <w:t>Raedó</w:t>
      </w:r>
      <w:proofErr w:type="spellEnd"/>
    </w:p>
    <w:p w:rsidR="00B157B7" w:rsidRDefault="008A70DC">
      <w:pPr>
        <w:spacing w:after="0" w:line="240" w:lineRule="auto"/>
        <w:rPr>
          <w:rFonts w:ascii="Neue Haas Grotesk Text Pro" w:eastAsia="Times New Roman" w:hAnsi="Neue Haas Grotesk Text Pro" w:cs="Segoe UI"/>
          <w:sz w:val="18"/>
          <w:szCs w:val="18"/>
          <w:highlight w:val="white"/>
          <w:lang w:val="es-CO" w:eastAsia="es-ES_tradnl"/>
        </w:rPr>
      </w:pPr>
      <w:r>
        <w:rPr>
          <w:rFonts w:ascii="Neue Haas Grotesk Text Pro" w:eastAsia="Times New Roman" w:hAnsi="Neue Haas Grotesk Text Pro" w:cs="Segoe UI"/>
          <w:sz w:val="18"/>
          <w:szCs w:val="18"/>
          <w:shd w:val="clear" w:color="auto" w:fill="FFFFFF"/>
          <w:lang w:val="es-CO" w:eastAsia="es-ES_tradnl"/>
        </w:rPr>
        <w:t>Osa Menor, educación de arte y arquitectura para la infancia y juventud</w:t>
      </w:r>
    </w:p>
    <w:p w:rsidR="00B157B7" w:rsidRDefault="008A70DC">
      <w:pPr>
        <w:spacing w:after="0" w:line="240" w:lineRule="auto"/>
        <w:rPr>
          <w:rFonts w:ascii="Neue Haas Grotesk Text Pro" w:eastAsia="Times New Roman" w:hAnsi="Neue Haas Grotesk Text Pro" w:cs="Times New Roman"/>
          <w:sz w:val="18"/>
          <w:szCs w:val="18"/>
          <w:lang w:val="es-CO" w:eastAsia="es-ES_tradnl"/>
        </w:rPr>
      </w:pPr>
      <w:r>
        <w:rPr>
          <w:rFonts w:ascii="Neue Haas Grotesk Text Pro" w:eastAsia="Times New Roman" w:hAnsi="Neue Haas Grotesk Text Pro" w:cs="Segoe UI"/>
          <w:sz w:val="18"/>
          <w:szCs w:val="18"/>
          <w:shd w:val="clear" w:color="auto" w:fill="FFFFFF"/>
          <w:lang w:val="es-CO" w:eastAsia="es-ES_tradnl"/>
        </w:rPr>
        <w:t>Universidad de Girona</w:t>
      </w:r>
    </w:p>
    <w:p w:rsidR="00B157B7" w:rsidRDefault="00B157B7">
      <w:pPr>
        <w:spacing w:after="0"/>
        <w:jc w:val="both"/>
      </w:pPr>
    </w:p>
    <w:sectPr w:rsidR="00B157B7">
      <w:type w:val="continuous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DC" w:rsidRDefault="008A70DC">
      <w:pPr>
        <w:spacing w:after="0" w:line="240" w:lineRule="auto"/>
      </w:pPr>
      <w:r>
        <w:separator/>
      </w:r>
    </w:p>
  </w:endnote>
  <w:endnote w:type="continuationSeparator" w:id="0">
    <w:p w:rsidR="008A70DC" w:rsidRDefault="008A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Times New Roman"/>
    <w:charset w:val="00"/>
    <w:family w:val="roman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vanagari Sangam MN">
    <w:panose1 w:val="00000000000000000000"/>
    <w:charset w:val="00"/>
    <w:family w:val="roman"/>
    <w:notTrueType/>
    <w:pitch w:val="default"/>
  </w:font>
  <w:font w:name="DecoType Naskh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DC" w:rsidRDefault="008A70DC">
      <w:r>
        <w:separator/>
      </w:r>
    </w:p>
  </w:footnote>
  <w:footnote w:type="continuationSeparator" w:id="0">
    <w:p w:rsidR="008A70DC" w:rsidRDefault="008A70DC">
      <w:r>
        <w:continuationSeparator/>
      </w:r>
    </w:p>
  </w:footnote>
  <w:footnote w:id="1">
    <w:p w:rsidR="00B157B7" w:rsidRDefault="008A70DC">
      <w:pPr>
        <w:pStyle w:val="Textonotapie"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eastAsia="Yu Gothic" w:hAnsi="Times New Roman" w:cs="Times New Roman"/>
          <w:sz w:val="18"/>
        </w:rPr>
        <w:t xml:space="preserve">La Convención de los Derechos del Niño de la Organización de las Naciones Unidas define como </w:t>
      </w:r>
      <w:r>
        <w:rPr>
          <w:rFonts w:ascii="Times New Roman" w:eastAsia="Yu Gothic" w:hAnsi="Times New Roman" w:cs="Times New Roman"/>
          <w:i/>
          <w:iCs/>
          <w:sz w:val="18"/>
        </w:rPr>
        <w:t>niño</w:t>
      </w:r>
      <w:r>
        <w:rPr>
          <w:rFonts w:ascii="Times New Roman" w:eastAsia="Yu Gothic" w:hAnsi="Times New Roman" w:cs="Times New Roman"/>
          <w:sz w:val="18"/>
        </w:rPr>
        <w:t xml:space="preserve"> a la persona de menos de18 años.</w:t>
      </w:r>
    </w:p>
  </w:footnote>
  <w:footnote w:id="2">
    <w:p w:rsidR="00B157B7" w:rsidRDefault="008A70DC">
      <w:pPr>
        <w:pStyle w:val="Textonotapie"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eastAsia="Yu Gothic" w:hAnsi="Times New Roman" w:cs="Times New Roman"/>
          <w:sz w:val="18"/>
        </w:rPr>
        <w:t xml:space="preserve">Con </w:t>
      </w:r>
      <w:r>
        <w:rPr>
          <w:rFonts w:ascii="Times New Roman" w:eastAsia="Yu Gothic" w:hAnsi="Times New Roman" w:cs="Times New Roman"/>
          <w:i/>
          <w:iCs/>
          <w:sz w:val="18"/>
        </w:rPr>
        <w:t>arquitectura</w:t>
      </w:r>
      <w:r>
        <w:rPr>
          <w:rFonts w:ascii="Times New Roman" w:eastAsia="Yu Gothic" w:hAnsi="Times New Roman" w:cs="Times New Roman"/>
          <w:sz w:val="18"/>
        </w:rPr>
        <w:t xml:space="preserve"> nos referimos también a urbanismo, diseño y paisaje.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7"/>
    <w:rsid w:val="006F2537"/>
    <w:rsid w:val="008A70DC"/>
    <w:rsid w:val="00B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48C31-18DA-4221-8844-2A5C2BE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01"/>
    <w:pPr>
      <w:spacing w:after="160" w:line="259" w:lineRule="auto"/>
    </w:pPr>
  </w:style>
  <w:style w:type="paragraph" w:styleId="Ttulo2">
    <w:name w:val="heading 2"/>
    <w:basedOn w:val="Normal"/>
    <w:link w:val="Ttulo2Car"/>
    <w:uiPriority w:val="9"/>
    <w:qFormat/>
    <w:rsid w:val="004F5F3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C80B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C80BA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4F5F3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3874A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16C23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16C23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16C23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6C23"/>
    <w:rPr>
      <w:rFonts w:ascii="Times New Roman" w:hAnsi="Times New Roman" w:cs="Times New Roman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B045CF"/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F84F4F"/>
    <w:rPr>
      <w:color w:val="605E5C"/>
      <w:shd w:val="clear" w:color="auto" w:fill="E1DFDD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CA71EC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A71EC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E356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80B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316C23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16C23"/>
    <w:pPr>
      <w:spacing w:line="240" w:lineRule="auto"/>
    </w:pPr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16C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6C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B04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71EC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table" w:styleId="Tablaconcuadrcula">
    <w:name w:val="Table Grid"/>
    <w:basedOn w:val="Tablanormal"/>
    <w:uiPriority w:val="39"/>
    <w:rsid w:val="00E3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vistas.uniandes.edu.co/for-authors/dearq/editorial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antonio garcía pérez</dc:creator>
  <dc:description/>
  <cp:lastModifiedBy>PC</cp:lastModifiedBy>
  <cp:revision>2</cp:revision>
  <dcterms:created xsi:type="dcterms:W3CDTF">2021-12-16T10:01:00Z</dcterms:created>
  <dcterms:modified xsi:type="dcterms:W3CDTF">2021-12-16T10:01:00Z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