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F9DE" w14:textId="77777777" w:rsidR="009236DB" w:rsidRDefault="009236DB" w:rsidP="009236DB">
      <w:pPr>
        <w:spacing w:after="200"/>
        <w:jc w:val="center"/>
      </w:pPr>
      <w:r>
        <w:rPr>
          <w:rFonts w:ascii="Lato" w:eastAsia="Lato" w:hAnsi="Lato" w:cs="Lato"/>
          <w:b/>
          <w:bCs/>
          <w:sz w:val="26"/>
          <w:szCs w:val="26"/>
        </w:rPr>
        <w:t>¿Cómo es el procedimiento de altas presupuestarias?</w:t>
      </w:r>
    </w:p>
    <w:p w14:paraId="11D39C1B" w14:textId="77777777" w:rsidR="009236DB" w:rsidRDefault="009236DB" w:rsidP="009236DB">
      <w:pPr>
        <w:spacing w:after="20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Este procedimiento se aplica cuando la Universidad </w:t>
      </w:r>
      <w:r>
        <w:rPr>
          <w:rFonts w:ascii="Lato" w:eastAsia="Lato" w:hAnsi="Lato" w:cs="Lato"/>
          <w:b/>
          <w:bCs/>
        </w:rPr>
        <w:t>adquiere bienes de uso con fondos presupuestarios</w:t>
      </w:r>
      <w:r>
        <w:rPr>
          <w:rFonts w:ascii="Lato" w:eastAsia="Lato" w:hAnsi="Lato" w:cs="Lato"/>
        </w:rPr>
        <w:t>, cualquiera sea la fuente de financiamiento.</w:t>
      </w:r>
    </w:p>
    <w:p w14:paraId="7E188535" w14:textId="77777777" w:rsidR="009236DB" w:rsidRDefault="009236DB" w:rsidP="009236DB">
      <w:pPr>
        <w:spacing w:after="20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La incorporación de los bienes se realiza a través del </w:t>
      </w:r>
      <w:r>
        <w:rPr>
          <w:rFonts w:ascii="Lato" w:eastAsia="Lato" w:hAnsi="Lato" w:cs="Lato"/>
          <w:b/>
          <w:bCs/>
        </w:rPr>
        <w:t>sistema JANO</w:t>
      </w:r>
      <w:r>
        <w:rPr>
          <w:rFonts w:ascii="Lato" w:eastAsia="Lato" w:hAnsi="Lato" w:cs="Lato"/>
        </w:rPr>
        <w:t xml:space="preserve">, en los módulos </w:t>
      </w:r>
      <w:r>
        <w:rPr>
          <w:rFonts w:ascii="Lato" w:eastAsia="Lato" w:hAnsi="Lato" w:cs="Lato"/>
          <w:i/>
          <w:iCs/>
        </w:rPr>
        <w:t>“Compras”</w:t>
      </w:r>
      <w:r>
        <w:rPr>
          <w:rFonts w:ascii="Lato" w:eastAsia="Lato" w:hAnsi="Lato" w:cs="Lato"/>
        </w:rPr>
        <w:t xml:space="preserve"> y </w:t>
      </w:r>
      <w:r>
        <w:rPr>
          <w:rFonts w:ascii="Lato" w:eastAsia="Lato" w:hAnsi="Lato" w:cs="Lato"/>
          <w:i/>
          <w:iCs/>
        </w:rPr>
        <w:t>“Adelantos a Responsables”</w:t>
      </w:r>
      <w:r>
        <w:rPr>
          <w:rFonts w:ascii="Lato" w:eastAsia="Lato" w:hAnsi="Lato" w:cs="Lato"/>
        </w:rPr>
        <w:t>.</w:t>
      </w:r>
    </w:p>
    <w:p w14:paraId="0DBB3473" w14:textId="77777777" w:rsidR="009236DB" w:rsidRDefault="009236DB" w:rsidP="009236DB">
      <w:pPr>
        <w:spacing w:after="200"/>
        <w:rPr>
          <w:rFonts w:ascii="Lato" w:eastAsia="Lato" w:hAnsi="Lato" w:cs="Lato"/>
        </w:rPr>
      </w:pPr>
      <w:r>
        <w:rPr>
          <w:rFonts w:ascii="Lato" w:eastAsia="Lato" w:hAnsi="Lato" w:cs="Lato"/>
        </w:rPr>
        <w:t>Durante la carga de los comprobantes se deben seguir los pasos que se detallan a continuación:</w:t>
      </w:r>
    </w:p>
    <w:p w14:paraId="61D7CC5C" w14:textId="77777777" w:rsidR="009236DB" w:rsidRDefault="009236DB" w:rsidP="009236DB">
      <w:pPr>
        <w:pStyle w:val="Ttulo3"/>
        <w:keepNext w:val="0"/>
        <w:keepLines w:val="0"/>
        <w:spacing w:before="0" w:after="200"/>
        <w:rPr>
          <w:rFonts w:ascii="Lato" w:eastAsia="Lato" w:hAnsi="Lato" w:cs="Lato"/>
          <w:b/>
          <w:bCs/>
          <w:color w:val="000000"/>
          <w:sz w:val="22"/>
          <w:szCs w:val="22"/>
          <w:u w:val="single"/>
        </w:rPr>
      </w:pPr>
      <w:bookmarkStart w:id="0" w:name="_xm9pxlhf82ho"/>
      <w:bookmarkEnd w:id="0"/>
      <w:r>
        <w:rPr>
          <w:rFonts w:ascii="Lato" w:eastAsia="Lato" w:hAnsi="Lato" w:cs="Lato"/>
          <w:b/>
          <w:bCs/>
          <w:color w:val="000000"/>
          <w:sz w:val="22"/>
          <w:szCs w:val="22"/>
          <w:u w:val="single"/>
        </w:rPr>
        <w:t>Pasos para registrar el alta</w:t>
      </w:r>
    </w:p>
    <w:p w14:paraId="2EC7C22F" w14:textId="77777777" w:rsidR="009236DB" w:rsidRDefault="009236DB" w:rsidP="009236DB">
      <w:pPr>
        <w:spacing w:after="200"/>
      </w:pPr>
      <w:r>
        <w:rPr>
          <w:rFonts w:ascii="Lato" w:eastAsia="Lato" w:hAnsi="Lato" w:cs="Lato"/>
          <w:b/>
          <w:bCs/>
        </w:rPr>
        <w:t>Paso 1 – Imputación del gasto</w:t>
      </w:r>
    </w:p>
    <w:p w14:paraId="407159F8" w14:textId="25E68B9D" w:rsidR="009236DB" w:rsidRDefault="009236DB" w:rsidP="009236DB">
      <w:pPr>
        <w:spacing w:after="200"/>
      </w:pPr>
      <w:r>
        <w:rPr>
          <w:rFonts w:ascii="Lato" w:eastAsia="Lato" w:hAnsi="Lato" w:cs="Lato"/>
        </w:rPr>
        <w:t xml:space="preserve">Al imputar el gasto en el Plan de Cuentas, se debe seleccionar una </w:t>
      </w:r>
      <w:r>
        <w:rPr>
          <w:rFonts w:ascii="Lato" w:eastAsia="Lato" w:hAnsi="Lato" w:cs="Lato"/>
          <w:b/>
          <w:bCs/>
        </w:rPr>
        <w:t xml:space="preserve">cuenta vinculada al Inciso 4 – Bienes de </w:t>
      </w:r>
      <w:r>
        <w:rPr>
          <w:rFonts w:ascii="Lato" w:eastAsia="Lato" w:hAnsi="Lato" w:cs="Lato"/>
          <w:b/>
          <w:bCs/>
        </w:rPr>
        <w:t>Uso</w:t>
      </w:r>
      <w:r>
        <w:rPr>
          <w:rFonts w:ascii="Lato" w:eastAsia="Lato" w:hAnsi="Lato" w:cs="Lato"/>
        </w:rPr>
        <w:t xml:space="preserve"> (</w:t>
      </w:r>
      <w:r>
        <w:rPr>
          <w:rFonts w:ascii="Lato" w:eastAsia="Lato" w:hAnsi="Lato" w:cs="Lato"/>
          <w:i/>
          <w:iCs/>
        </w:rPr>
        <w:t>Ver Manual de Cuentas Sistema JANO).</w:t>
      </w:r>
    </w:p>
    <w:p w14:paraId="57955137" w14:textId="77777777" w:rsidR="009236DB" w:rsidRDefault="009236DB" w:rsidP="009236DB">
      <w:pPr>
        <w:spacing w:after="160" w:line="259" w:lineRule="auto"/>
        <w:rPr>
          <w:rFonts w:ascii="Lato" w:eastAsia="Lato" w:hAnsi="Lato" w:cs="Lato"/>
        </w:rPr>
      </w:pPr>
    </w:p>
    <w:p w14:paraId="165987D2" w14:textId="77777777" w:rsidR="009236DB" w:rsidRDefault="009236DB" w:rsidP="009236DB">
      <w:pPr>
        <w:spacing w:after="160" w:line="259" w:lineRule="auto"/>
        <w:jc w:val="center"/>
        <w:rPr>
          <w:rFonts w:ascii="Lato" w:eastAsia="Lato" w:hAnsi="Lato" w:cs="Lato"/>
        </w:rPr>
      </w:pPr>
      <w:r>
        <w:rPr>
          <w:noProof/>
        </w:rPr>
        <w:drawing>
          <wp:inline distT="0" distB="0" distL="0" distR="0" wp14:anchorId="43457A89" wp14:editId="5B7ABEFF">
            <wp:extent cx="1784985" cy="290068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1366" t="49557" r="23097" b="5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C38CB" w14:textId="77777777" w:rsidR="009236DB" w:rsidRDefault="009236DB" w:rsidP="009236DB">
      <w:pPr>
        <w:spacing w:after="200"/>
        <w:rPr>
          <w:rFonts w:ascii="Lato" w:eastAsia="Lato" w:hAnsi="Lato" w:cs="Lato"/>
        </w:rPr>
      </w:pPr>
    </w:p>
    <w:p w14:paraId="66DB6B62" w14:textId="77777777" w:rsidR="009236DB" w:rsidRDefault="009236DB" w:rsidP="009236DB">
      <w:pPr>
        <w:spacing w:after="200"/>
      </w:pPr>
      <w:r>
        <w:rPr>
          <w:rFonts w:ascii="Lato" w:eastAsia="Lato" w:hAnsi="Lato" w:cs="Lato"/>
        </w:rPr>
        <w:t>Esta selección habilitará una ventana emergente donde será necesario indicar:</w:t>
      </w:r>
    </w:p>
    <w:p w14:paraId="0AB36BD1" w14:textId="77777777" w:rsidR="009236DB" w:rsidRDefault="009236DB" w:rsidP="009236DB">
      <w:pPr>
        <w:numPr>
          <w:ilvl w:val="0"/>
          <w:numId w:val="2"/>
        </w:numPr>
        <w:spacing w:line="360" w:lineRule="auto"/>
      </w:pPr>
      <w:r>
        <w:rPr>
          <w:rFonts w:ascii="Lato" w:eastAsia="Lato" w:hAnsi="Lato" w:cs="Lato"/>
          <w:b/>
          <w:bCs/>
        </w:rPr>
        <w:t>Área</w:t>
      </w:r>
      <w:r>
        <w:rPr>
          <w:rFonts w:ascii="Lato" w:eastAsia="Lato" w:hAnsi="Lato" w:cs="Lato"/>
        </w:rPr>
        <w:t xml:space="preserve"> de destino del bien.</w:t>
      </w:r>
    </w:p>
    <w:p w14:paraId="203BE2E8" w14:textId="77777777" w:rsidR="009236DB" w:rsidRDefault="009236DB" w:rsidP="009236DB">
      <w:pPr>
        <w:numPr>
          <w:ilvl w:val="0"/>
          <w:numId w:val="2"/>
        </w:numPr>
        <w:spacing w:line="360" w:lineRule="auto"/>
      </w:pPr>
      <w:r>
        <w:rPr>
          <w:rFonts w:ascii="Lato" w:eastAsia="Lato" w:hAnsi="Lato" w:cs="Lato"/>
          <w:b/>
          <w:bCs/>
        </w:rPr>
        <w:t>Ubicación física</w:t>
      </w:r>
      <w:r>
        <w:rPr>
          <w:rFonts w:ascii="Lato" w:eastAsia="Lato" w:hAnsi="Lato" w:cs="Lato"/>
        </w:rPr>
        <w:t xml:space="preserve"> donde quedará asignado.</w:t>
      </w:r>
    </w:p>
    <w:p w14:paraId="347C97AD" w14:textId="77777777" w:rsidR="009236DB" w:rsidRDefault="009236DB" w:rsidP="009236DB">
      <w:pPr>
        <w:numPr>
          <w:ilvl w:val="0"/>
          <w:numId w:val="2"/>
        </w:numPr>
        <w:spacing w:line="360" w:lineRule="auto"/>
      </w:pPr>
      <w:r>
        <w:rPr>
          <w:rFonts w:ascii="Lato" w:eastAsia="Lato" w:hAnsi="Lato" w:cs="Lato"/>
          <w:b/>
          <w:bCs/>
        </w:rPr>
        <w:t>Responsable de uso</w:t>
      </w:r>
    </w:p>
    <w:p w14:paraId="2AD3A6EF" w14:textId="77777777" w:rsidR="009236DB" w:rsidRDefault="009236DB" w:rsidP="009236DB">
      <w:pPr>
        <w:spacing w:after="160" w:line="259" w:lineRule="auto"/>
        <w:jc w:val="both"/>
        <w:rPr>
          <w:rFonts w:ascii="Lato" w:eastAsia="Lato" w:hAnsi="Lato" w:cs="Lato"/>
        </w:rPr>
      </w:pPr>
    </w:p>
    <w:p w14:paraId="14B7E58F" w14:textId="77777777" w:rsidR="009236DB" w:rsidRDefault="009236DB" w:rsidP="009236DB">
      <w:pPr>
        <w:spacing w:after="160" w:line="259" w:lineRule="auto"/>
        <w:jc w:val="center"/>
        <w:rPr>
          <w:rFonts w:ascii="Lato" w:eastAsia="Lato" w:hAnsi="Lato" w:cs="Lato"/>
        </w:rPr>
      </w:pPr>
      <w:r>
        <w:rPr>
          <w:noProof/>
        </w:rPr>
        <w:lastRenderedPageBreak/>
        <w:drawing>
          <wp:inline distT="0" distB="0" distL="0" distR="0" wp14:anchorId="0EFE25B1" wp14:editId="46F89DBD">
            <wp:extent cx="5400040" cy="116014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6468" w14:textId="77777777" w:rsidR="009236DB" w:rsidRDefault="009236DB" w:rsidP="009236DB">
      <w:pPr>
        <w:spacing w:before="240" w:after="240" w:line="240" w:lineRule="auto"/>
        <w:rPr>
          <w:rFonts w:ascii="Lato" w:eastAsia="Lato" w:hAnsi="Lato" w:cs="Lato"/>
        </w:rPr>
      </w:pPr>
    </w:p>
    <w:p w14:paraId="6D8ED23B" w14:textId="77777777" w:rsidR="009236DB" w:rsidRDefault="009236DB" w:rsidP="009236DB">
      <w:pPr>
        <w:spacing w:before="240" w:after="240" w:line="240" w:lineRule="auto"/>
        <w:rPr>
          <w:rFonts w:ascii="Lato" w:eastAsia="Lato" w:hAnsi="Lato" w:cs="Lato"/>
          <w:i/>
          <w:iCs/>
        </w:rPr>
      </w:pPr>
      <w:r>
        <w:rPr>
          <w:rFonts w:ascii="Lato" w:eastAsia="Lato" w:hAnsi="Lato" w:cs="Lato"/>
          <w:i/>
          <w:iCs/>
        </w:rPr>
        <w:t>Los listados de áreas y ubicaciones provienen del módulo Patrimonio del SIU-Diaguita y no pueden ser editados por el usuario. La selección de un área no condiciona las opciones disponibles de ubicación física.</w:t>
      </w:r>
    </w:p>
    <w:p w14:paraId="1B24035E" w14:textId="77777777" w:rsidR="009236DB" w:rsidRDefault="009236DB" w:rsidP="009236DB">
      <w:pPr>
        <w:spacing w:before="240" w:after="240" w:line="240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  <w:bCs/>
        </w:rPr>
        <w:t>Paso 2 – Generación del Relacionado de Gasto</w:t>
      </w:r>
      <w:r>
        <w:rPr>
          <w:rFonts w:ascii="Lato" w:eastAsia="Lato" w:hAnsi="Lato" w:cs="Lato"/>
          <w:b/>
          <w:bCs/>
        </w:rPr>
        <w:br/>
      </w:r>
      <w:r>
        <w:rPr>
          <w:rFonts w:ascii="Lato" w:eastAsia="Lato" w:hAnsi="Lato" w:cs="Lato"/>
        </w:rPr>
        <w:t xml:space="preserve">La información de área, ubicación y responsable se visualizará automáticamente dentro del </w:t>
      </w:r>
      <w:r>
        <w:rPr>
          <w:rFonts w:ascii="Lato" w:eastAsia="Lato" w:hAnsi="Lato" w:cs="Lato"/>
          <w:b/>
          <w:bCs/>
        </w:rPr>
        <w:t>Relacionado de Gasto</w:t>
      </w:r>
      <w:r>
        <w:rPr>
          <w:rFonts w:ascii="Lato" w:eastAsia="Lato" w:hAnsi="Lato" w:cs="Lato"/>
        </w:rPr>
        <w:t xml:space="preserve">, documento que —una vez firmado por la autoridad correspondiente— </w:t>
      </w:r>
      <w:r>
        <w:rPr>
          <w:rFonts w:ascii="Lato" w:eastAsia="Lato" w:hAnsi="Lato" w:cs="Lato"/>
          <w:b/>
          <w:bCs/>
        </w:rPr>
        <w:t xml:space="preserve">reemplaza el uso de la antigua </w:t>
      </w:r>
      <w:r>
        <w:rPr>
          <w:rFonts w:ascii="Lato" w:eastAsia="Lato" w:hAnsi="Lato" w:cs="Lato"/>
          <w:b/>
          <w:bCs/>
          <w:i/>
          <w:iCs/>
        </w:rPr>
        <w:t>Planilla Solicitud de Alta de Bienes</w:t>
      </w:r>
      <w:r>
        <w:rPr>
          <w:rFonts w:ascii="Lato" w:eastAsia="Lato" w:hAnsi="Lato" w:cs="Lato"/>
        </w:rPr>
        <w:t>.</w:t>
      </w:r>
    </w:p>
    <w:p w14:paraId="4FA1F035" w14:textId="77777777" w:rsidR="009236DB" w:rsidRDefault="009236DB" w:rsidP="009236DB">
      <w:pPr>
        <w:spacing w:before="240" w:after="240" w:line="240" w:lineRule="auto"/>
      </w:pPr>
      <w:r>
        <w:rPr>
          <w:rFonts w:ascii="Lato" w:eastAsia="Lato" w:hAnsi="Lato" w:cs="Lato"/>
          <w:b/>
          <w:bCs/>
        </w:rPr>
        <w:t>Paso 3 – Incorporación de documentación en el expediente</w:t>
      </w:r>
    </w:p>
    <w:p w14:paraId="128910E6" w14:textId="77777777" w:rsidR="009236DB" w:rsidRDefault="009236DB" w:rsidP="009236DB">
      <w:pPr>
        <w:spacing w:before="240" w:after="240" w:line="240" w:lineRule="auto"/>
      </w:pPr>
      <w:r>
        <w:rPr>
          <w:rFonts w:ascii="Lato" w:eastAsia="Lato" w:hAnsi="Lato" w:cs="Lato"/>
        </w:rPr>
        <w:t>Al solicitar el pago o rendir los fondos utilizados para la compra, la dependencia deberá incorporar al expediente:</w:t>
      </w:r>
    </w:p>
    <w:p w14:paraId="2F5A13C2" w14:textId="77777777" w:rsidR="009236DB" w:rsidRDefault="009236DB" w:rsidP="009236DB">
      <w:pPr>
        <w:numPr>
          <w:ilvl w:val="0"/>
          <w:numId w:val="1"/>
        </w:numPr>
        <w:spacing w:before="240" w:after="240" w:line="240" w:lineRule="auto"/>
      </w:pPr>
      <w:r>
        <w:rPr>
          <w:rFonts w:ascii="Lato" w:eastAsia="Lato" w:hAnsi="Lato" w:cs="Lato"/>
          <w:b/>
          <w:bCs/>
        </w:rPr>
        <w:t>Relacionado de Gasto emitido por JANO</w:t>
      </w:r>
      <w:r>
        <w:rPr>
          <w:rFonts w:ascii="Lato" w:eastAsia="Lato" w:hAnsi="Lato" w:cs="Lato"/>
        </w:rPr>
        <w:t xml:space="preserve">. </w:t>
      </w:r>
      <w:r>
        <w:rPr>
          <w:rFonts w:ascii="Lato" w:eastAsia="Lato" w:hAnsi="Lato" w:cs="Lato"/>
          <w:i/>
          <w:iCs/>
        </w:rPr>
        <w:t>En caso de mejoras</w:t>
      </w:r>
      <w:r>
        <w:rPr>
          <w:rFonts w:ascii="Lato" w:eastAsia="Lato" w:hAnsi="Lato" w:cs="Lato"/>
        </w:rPr>
        <w:t>: se debe incluir en el concepto el número de inventario del bien al cual se incorpora la mejora.</w:t>
      </w:r>
    </w:p>
    <w:p w14:paraId="2DB4C8E7" w14:textId="77777777" w:rsidR="009236DB" w:rsidRDefault="009236DB" w:rsidP="009236DB">
      <w:pPr>
        <w:numPr>
          <w:ilvl w:val="0"/>
          <w:numId w:val="1"/>
        </w:numPr>
        <w:spacing w:before="240" w:after="200" w:line="240" w:lineRule="auto"/>
      </w:pPr>
      <w:r>
        <w:rPr>
          <w:rFonts w:ascii="Lato" w:eastAsia="Lato" w:hAnsi="Lato" w:cs="Lato"/>
          <w:b/>
          <w:bCs/>
        </w:rPr>
        <w:t>Comprobante de compra</w:t>
      </w:r>
      <w:r>
        <w:rPr>
          <w:rFonts w:ascii="Lato" w:eastAsia="Lato" w:hAnsi="Lato" w:cs="Lato"/>
        </w:rPr>
        <w:t xml:space="preserve"> del bien. Si el comprobante no incluye una descripción suficiente, deberá completarse con los datos necesarios (tipo, marca, modelo, número de serie, etc.).</w:t>
      </w:r>
    </w:p>
    <w:p w14:paraId="0B8C0E14" w14:textId="77777777" w:rsidR="009236DB" w:rsidRDefault="009236DB" w:rsidP="009236DB">
      <w:pPr>
        <w:numPr>
          <w:ilvl w:val="0"/>
          <w:numId w:val="1"/>
        </w:numPr>
        <w:spacing w:before="240" w:after="200" w:line="240" w:lineRule="auto"/>
      </w:pPr>
      <w:r>
        <w:rPr>
          <w:rFonts w:ascii="Lato" w:eastAsia="Lato" w:hAnsi="Lato" w:cs="Lato"/>
          <w:b/>
          <w:bCs/>
        </w:rPr>
        <w:t>Acta de recepción provisoria</w:t>
      </w:r>
      <w:r>
        <w:rPr>
          <w:rFonts w:ascii="Lato" w:eastAsia="Lato" w:hAnsi="Lato" w:cs="Lato"/>
        </w:rPr>
        <w:t>, si la compra se gestionó mediante un procedimiento de Compras.</w:t>
      </w:r>
    </w:p>
    <w:p w14:paraId="1704C5AC" w14:textId="77777777" w:rsidR="009236DB" w:rsidRDefault="009236DB" w:rsidP="009236DB">
      <w:pPr>
        <w:spacing w:before="240" w:after="240" w:line="240" w:lineRule="auto"/>
      </w:pPr>
      <w:r>
        <w:rPr>
          <w:rFonts w:ascii="Lato" w:eastAsia="Lato" w:hAnsi="Lato" w:cs="Lato"/>
        </w:rPr>
        <w:t xml:space="preserve">Las actuaciones deben estar </w:t>
      </w:r>
      <w:r>
        <w:rPr>
          <w:rFonts w:ascii="Lato" w:eastAsia="Lato" w:hAnsi="Lato" w:cs="Lato"/>
          <w:b/>
          <w:bCs/>
        </w:rPr>
        <w:t xml:space="preserve">autorizadas y firmadas por la máxima autoridad de la dependencia. </w:t>
      </w:r>
      <w:r>
        <w:rPr>
          <w:rFonts w:ascii="Lato" w:eastAsia="Lato" w:hAnsi="Lato" w:cs="Lato"/>
        </w:rPr>
        <w:t xml:space="preserve">El expediente debe remitirse a la </w:t>
      </w:r>
      <w:r>
        <w:rPr>
          <w:rFonts w:ascii="Lato" w:eastAsia="Lato" w:hAnsi="Lato" w:cs="Lato"/>
          <w:b/>
          <w:bCs/>
        </w:rPr>
        <w:t>Secretaría de Gestión y Administración Presupuestaria</w:t>
      </w:r>
      <w:r>
        <w:rPr>
          <w:rFonts w:ascii="Lato" w:eastAsia="Lato" w:hAnsi="Lato" w:cs="Lato"/>
        </w:rPr>
        <w:t xml:space="preserve"> para su procesamiento y posterior incorporación al inventario institucional.</w:t>
      </w:r>
    </w:p>
    <w:p w14:paraId="2D201800" w14:textId="77777777" w:rsidR="009236DB" w:rsidRDefault="009236DB" w:rsidP="009236DB">
      <w:pPr>
        <w:spacing w:before="240" w:after="240" w:line="240" w:lineRule="auto"/>
        <w:rPr>
          <w:rFonts w:ascii="Lato" w:eastAsia="Lato" w:hAnsi="Lato" w:cs="Lato"/>
        </w:rPr>
      </w:pPr>
    </w:p>
    <w:p w14:paraId="24DC8BB2" w14:textId="77777777" w:rsidR="00071FAE" w:rsidRDefault="00071FAE"/>
    <w:sectPr w:rsidR="00071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6BB"/>
    <w:multiLevelType w:val="multilevel"/>
    <w:tmpl w:val="F5267D6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1CEB1C5A"/>
    <w:multiLevelType w:val="multilevel"/>
    <w:tmpl w:val="D01A243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296058498">
    <w:abstractNumId w:val="0"/>
  </w:num>
  <w:num w:numId="2" w16cid:durableId="127361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DB"/>
    <w:rsid w:val="00071FAE"/>
    <w:rsid w:val="00096E4B"/>
    <w:rsid w:val="002051D0"/>
    <w:rsid w:val="00265926"/>
    <w:rsid w:val="00842450"/>
    <w:rsid w:val="008A5BDB"/>
    <w:rsid w:val="009236DB"/>
    <w:rsid w:val="00C0461F"/>
    <w:rsid w:val="00CC043A"/>
    <w:rsid w:val="00E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7427"/>
  <w15:chartTrackingRefBased/>
  <w15:docId w15:val="{59600592-CF3F-4AC2-9B3E-A6432D3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DB"/>
    <w:pPr>
      <w:widowControl w:val="0"/>
      <w:spacing w:after="0" w:line="276" w:lineRule="auto"/>
    </w:pPr>
    <w:rPr>
      <w:rFonts w:ascii="Arial" w:eastAsia="Arial" w:hAnsi="Arial" w:cs="Arial"/>
      <w:kern w:val="0"/>
      <w:lang w:val="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3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3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3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3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36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36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36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36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36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36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36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36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36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36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3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Bergese</dc:creator>
  <cp:keywords/>
  <dc:description/>
  <cp:lastModifiedBy>Melisa Bergese</cp:lastModifiedBy>
  <cp:revision>1</cp:revision>
  <dcterms:created xsi:type="dcterms:W3CDTF">2026-04-28T13:53:00Z</dcterms:created>
  <dcterms:modified xsi:type="dcterms:W3CDTF">2026-04-28T13:54:00Z</dcterms:modified>
</cp:coreProperties>
</file>