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fonts/font29.odttf" ContentType="application/vnd.openxmlformats-officedocument.obfuscatedFont"/>
  <Override PartName="/word/fonts/font10.odttf" ContentType="application/vnd.openxmlformats-officedocument.obfuscatedFont"/>
  <Override PartName="/word/fonts/font4.odttf" ContentType="application/vnd.openxmlformats-officedocument.obfuscatedFont"/>
  <Override PartName="/word/fonts/font11.odttf" ContentType="application/vnd.openxmlformats-officedocument.obfuscatedFont"/>
  <Override PartName="/word/fonts/font5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3.odttf" ContentType="application/vnd.openxmlformats-officedocument.obfuscatedFont"/>
  <Override PartName="/word/fonts/font7.odttf" ContentType="application/vnd.openxmlformats-officedocument.obfuscatedFont"/>
  <Override PartName="/word/fonts/font14.odttf" ContentType="application/vnd.openxmlformats-officedocument.obfuscatedFont"/>
  <Override PartName="/word/fonts/font8.odttf" ContentType="application/vnd.openxmlformats-officedocument.obfuscatedFont"/>
  <Override PartName="/word/fonts/font15.odttf" ContentType="application/vnd.openxmlformats-officedocument.obfuscatedFont"/>
  <Override PartName="/word/fonts/font9.odttf" ContentType="application/vnd.openxmlformats-officedocument.obfuscatedFont"/>
  <Override PartName="/word/fonts/font30.odttf" ContentType="application/vnd.openxmlformats-officedocument.obfuscatedFont"/>
  <Override PartName="/word/fonts/font28.odttf" ContentType="application/vnd.openxmlformats-officedocument.obfuscatedFont"/>
  <Override PartName="/word/fonts/font16.odttf" ContentType="application/vnd.openxmlformats-officedocument.obfuscatedFont"/>
  <Override PartName="/word/fonts/font1.odttf" ContentType="application/vnd.openxmlformats-officedocument.obfuscatedFont"/>
  <Override PartName="/word/fonts/font17.odttf" ContentType="application/vnd.openxmlformats-officedocument.obfuscatedFont"/>
  <Override PartName="/word/fonts/font2.odttf" ContentType="application/vnd.openxmlformats-officedocument.obfuscatedFont"/>
  <Override PartName="/word/fonts/font18.odttf" ContentType="application/vnd.openxmlformats-officedocument.obfuscatedFont"/>
  <Override PartName="/word/fonts/font20.odttf" ContentType="application/vnd.openxmlformats-officedocument.obfuscatedFont"/>
  <Override PartName="/word/fonts/font3.odttf" ContentType="application/vnd.openxmlformats-officedocument.obfuscatedFont"/>
  <Override PartName="/word/fonts/font19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76" w:before="0" w:after="200"/>
        <w:ind w:hanging="0" w:left="0"/>
        <w:rPr>
          <w:rFonts w:ascii="Lato" w:hAnsi="Lato" w:eastAsia="Lato" w:cs="Lato"/>
          <w:b/>
          <w:bCs/>
          <w:sz w:val="26"/>
          <w:szCs w:val="26"/>
        </w:rPr>
      </w:pPr>
      <w:r>
        <w:rPr>
          <w:rFonts w:eastAsia="Lato" w:cs="Lato" w:ascii="Lato" w:hAnsi="Lato"/>
          <w:b/>
          <w:bCs/>
          <w:sz w:val="26"/>
          <w:szCs w:val="26"/>
        </w:rPr>
        <w:t>¿Cómo es el procedimiento de altas presupuestarias?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 xml:space="preserve">Este procedimiento se aplica cuando la Universidad </w:t>
      </w:r>
      <w:r>
        <w:rPr>
          <w:rFonts w:eastAsia="Lato" w:cs="Lato" w:ascii="Lato" w:hAnsi="Lato"/>
          <w:b/>
          <w:bCs/>
        </w:rPr>
        <w:t>adquiere bienes de uso con fondos presupuestarios</w:t>
      </w:r>
      <w:r>
        <w:rPr>
          <w:rFonts w:eastAsia="Lato" w:cs="Lato" w:ascii="Lato" w:hAnsi="Lato"/>
        </w:rPr>
        <w:t>, cualquiera sea la fuente de financiamiento.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 xml:space="preserve">La incorporación de los bienes se realiza a través del </w:t>
      </w:r>
      <w:r>
        <w:rPr>
          <w:rFonts w:eastAsia="Lato" w:cs="Lato" w:ascii="Lato" w:hAnsi="Lato"/>
          <w:b/>
          <w:bCs/>
        </w:rPr>
        <w:t>sistema JANO</w:t>
      </w:r>
      <w:r>
        <w:rPr>
          <w:rFonts w:eastAsia="Lato" w:cs="Lato" w:ascii="Lato" w:hAnsi="Lato"/>
        </w:rPr>
        <w:t xml:space="preserve">, en los módulos </w:t>
      </w:r>
      <w:r>
        <w:rPr>
          <w:rFonts w:eastAsia="Lato" w:cs="Lato" w:ascii="Lato" w:hAnsi="Lato"/>
          <w:i/>
          <w:iCs/>
        </w:rPr>
        <w:t>“Compras”</w:t>
      </w:r>
      <w:r>
        <w:rPr>
          <w:rFonts w:eastAsia="Lato" w:cs="Lato" w:ascii="Lato" w:hAnsi="Lato"/>
        </w:rPr>
        <w:t xml:space="preserve"> y </w:t>
      </w:r>
      <w:r>
        <w:rPr>
          <w:rFonts w:eastAsia="Lato" w:cs="Lato" w:ascii="Lato" w:hAnsi="Lato"/>
          <w:i/>
          <w:iCs/>
        </w:rPr>
        <w:t>“Adelantos a Responsables”</w:t>
      </w:r>
      <w:r>
        <w:rPr>
          <w:rFonts w:eastAsia="Lato" w:cs="Lato" w:ascii="Lato" w:hAnsi="Lato"/>
        </w:rPr>
        <w:t>.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>La integración entre Jano y SIU Pilagá permite migrar los comprobantes cargados por las Dependencias entre dichos sistemas, a través del módulo Comprobantes de 3ros, lo cual permite también la conexión entre SIU Pilagá y SIU Diaguita, para la generación automática de la Solicitud de alta de bienes patrimoniales.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>Durante la carga de los comprobantes se deben seguir los pasos que se detallan a continuación:</w:t>
      </w:r>
    </w:p>
    <w:p>
      <w:pPr>
        <w:pStyle w:val="Heading3"/>
        <w:keepNext w:val="false"/>
        <w:keepLines w:val="false"/>
        <w:spacing w:lineRule="auto" w:line="360" w:before="280" w:after="80"/>
        <w:jc w:val="both"/>
        <w:rPr>
          <w:rFonts w:ascii="Lato" w:hAnsi="Lato" w:eastAsia="Lato" w:cs="Lato"/>
          <w:b/>
          <w:bCs/>
          <w:color w:val="000000"/>
          <w:sz w:val="22"/>
          <w:szCs w:val="22"/>
        </w:rPr>
      </w:pPr>
      <w:bookmarkStart w:id="0" w:name="_xm9pxlhf82ho"/>
      <w:bookmarkEnd w:id="0"/>
      <w:r>
        <w:rPr>
          <w:rFonts w:eastAsia="Lato" w:cs="Lato" w:ascii="Lato" w:hAnsi="Lato"/>
          <w:b/>
          <w:bCs/>
          <w:color w:val="000000"/>
          <w:sz w:val="22"/>
          <w:szCs w:val="22"/>
        </w:rPr>
        <w:t>Pasos para registrar el alta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  <w:i/>
          <w:i/>
          <w:iCs/>
        </w:rPr>
      </w:pPr>
      <w:r>
        <w:rPr>
          <w:rFonts w:eastAsia="Lato" w:cs="Lato" w:ascii="Lato" w:hAnsi="Lato"/>
          <w:b/>
          <w:bCs/>
        </w:rPr>
        <w:t>Paso 1 – Seleccionar la cuenta contable correspondiente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  <w:i/>
          <w:i/>
          <w:iCs/>
        </w:rPr>
      </w:pPr>
      <w:r>
        <w:rPr>
          <w:rFonts w:eastAsia="Lato" w:cs="Lato" w:ascii="Lato" w:hAnsi="Lato"/>
        </w:rPr>
        <w:t xml:space="preserve">Al imputar el gasto en el Plan de Cuentas, se debe seleccionar una </w:t>
      </w:r>
      <w:r>
        <w:rPr>
          <w:rFonts w:eastAsia="Lato" w:cs="Lato" w:ascii="Lato" w:hAnsi="Lato"/>
          <w:b/>
          <w:bCs/>
        </w:rPr>
        <w:t>cuenta vinculada al Inciso 4 – Bienes de Uso</w:t>
      </w:r>
      <w:r>
        <w:rPr>
          <w:rFonts w:eastAsia="Lato" w:cs="Lato" w:ascii="Lato" w:hAnsi="Lato"/>
        </w:rPr>
        <w:t xml:space="preserve">  </w:t>
      </w:r>
      <w:r>
        <w:rPr>
          <w:rFonts w:eastAsia="Lato" w:cs="Lato" w:ascii="Lato" w:hAnsi="Lato"/>
          <w:i/>
          <w:iCs/>
        </w:rPr>
        <w:t>(Ver Manual de Cuentas Sistema JANO).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  <w:i/>
          <w:i/>
          <w:iCs/>
        </w:rPr>
      </w:pPr>
      <w:r>
        <w:rPr/>
        <w:drawing>
          <wp:inline distT="0" distB="0" distL="0" distR="0">
            <wp:extent cx="5731510" cy="1028700"/>
            <wp:effectExtent l="0" t="0" r="0" b="0"/>
            <wp:docPr id="1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"/>
        <w:spacing w:lineRule="auto" w:line="360" w:before="0" w:after="160"/>
        <w:jc w:val="center"/>
        <w:rPr>
          <w:rFonts w:ascii="Libre Franklin" w:hAnsi="Libre Franklin" w:eastAsia="Libre Franklin" w:cs="Libre Franklin"/>
        </w:rPr>
      </w:pPr>
      <w:r>
        <w:rPr/>
        <w:drawing>
          <wp:inline distT="0" distB="0" distL="0" distR="0">
            <wp:extent cx="1690370" cy="2757805"/>
            <wp:effectExtent l="0" t="0" r="0" b="0"/>
            <wp:docPr id="2" name="image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61366" t="49557" r="23098" b="5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275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"/>
        <w:spacing w:lineRule="auto" w:line="360" w:before="240" w:after="240"/>
        <w:rPr>
          <w:rFonts w:ascii="Lato" w:hAnsi="Lato" w:eastAsia="Lato" w:cs="Lato"/>
        </w:rPr>
      </w:pPr>
      <w:r>
        <w:rPr>
          <w:rFonts w:eastAsia="Lato" w:cs="Lato" w:ascii="Lato" w:hAnsi="Lato"/>
        </w:rPr>
        <w:t>Esta selección habilitará una ventana emergente donde será necesario indicar:</w:t>
      </w:r>
    </w:p>
    <w:p>
      <w:pPr>
        <w:pStyle w:val="normal1"/>
        <w:numPr>
          <w:ilvl w:val="0"/>
          <w:numId w:val="1"/>
        </w:numPr>
        <w:spacing w:lineRule="auto" w:line="360" w:before="240" w:afterAutospacing="0" w:after="0"/>
        <w:ind w:hanging="360" w:left="720"/>
        <w:rPr/>
      </w:pPr>
      <w:r>
        <w:rPr>
          <w:rFonts w:eastAsia="Lato" w:cs="Lato" w:ascii="Lato" w:hAnsi="Lato"/>
          <w:b/>
          <w:bCs/>
        </w:rPr>
        <w:t>Área</w:t>
      </w:r>
      <w:r>
        <w:rPr>
          <w:rFonts w:eastAsia="Lato" w:cs="Lato" w:ascii="Lato" w:hAnsi="Lato"/>
        </w:rPr>
        <w:t xml:space="preserve"> de destino del bien: área responsable patrimonial (Secretarías de Rectorado, Facultades, Escuelas, Institutos, Centros Universitarios).</w:t>
      </w:r>
    </w:p>
    <w:p>
      <w:pPr>
        <w:pStyle w:val="normal1"/>
        <w:numPr>
          <w:ilvl w:val="0"/>
          <w:numId w:val="1"/>
        </w:numPr>
        <w:spacing w:lineRule="auto" w:line="360" w:beforeAutospacing="0" w:before="0" w:afterAutospacing="0" w:after="0"/>
        <w:ind w:hanging="360" w:left="720"/>
        <w:rPr/>
      </w:pPr>
      <w:r>
        <w:rPr>
          <w:rFonts w:eastAsia="Lato" w:cs="Lato" w:ascii="Lato" w:hAnsi="Lato"/>
          <w:b/>
          <w:bCs/>
        </w:rPr>
        <w:t>Ubicación física</w:t>
      </w:r>
      <w:r>
        <w:rPr>
          <w:rFonts w:eastAsia="Lato" w:cs="Lato" w:ascii="Lato" w:hAnsi="Lato"/>
        </w:rPr>
        <w:t xml:space="preserve"> donde quedará asignado.</w:t>
      </w:r>
    </w:p>
    <w:p>
      <w:pPr>
        <w:pStyle w:val="normal1"/>
        <w:numPr>
          <w:ilvl w:val="0"/>
          <w:numId w:val="1"/>
        </w:numPr>
        <w:spacing w:lineRule="auto" w:line="360" w:beforeAutospacing="0" w:before="0" w:after="240"/>
        <w:ind w:hanging="360" w:left="720"/>
        <w:rPr>
          <w:rFonts w:ascii="Lato" w:hAnsi="Lato" w:eastAsia="Lato" w:cs="Lato"/>
        </w:rPr>
      </w:pPr>
      <w:r>
        <w:rPr>
          <w:rFonts w:eastAsia="Lato" w:cs="Lato" w:ascii="Lato" w:hAnsi="Lato"/>
        </w:rPr>
        <w:t xml:space="preserve">Responsable de uso. </w:t>
      </w:r>
    </w:p>
    <w:p>
      <w:pPr>
        <w:pStyle w:val="normal1"/>
        <w:spacing w:lineRule="auto" w:line="360"/>
        <w:ind w:hanging="0" w:left="72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360"/>
        <w:jc w:val="both"/>
        <w:rPr>
          <w:rFonts w:ascii="Lato" w:hAnsi="Lato" w:eastAsia="Lato" w:cs="Lato"/>
          <w:b/>
          <w:bCs/>
          <w:i/>
          <w:i/>
          <w:iCs/>
        </w:rPr>
      </w:pPr>
      <w:r>
        <w:rPr>
          <w:rFonts w:eastAsia="Lato" w:cs="Lato" w:ascii="Lato" w:hAnsi="Lato"/>
          <w:b/>
          <w:bCs/>
          <w:i/>
          <w:iCs/>
          <w:u w:val="single"/>
        </w:rPr>
        <w:t>IMPORTANTE</w:t>
      </w:r>
      <w:r>
        <w:rPr>
          <w:rFonts w:eastAsia="Lato" w:cs="Lato" w:ascii="Lato" w:hAnsi="Lato"/>
          <w:b/>
          <w:bCs/>
          <w:i/>
          <w:iCs/>
        </w:rPr>
        <w:t>: el concepto que las Dependencias indiquen en el Relacionado de Gastos deberá coincidir con el facturado. Si los comprobantes contienen al menos un bien patrimonial, el concepto a registrar en Jano debe corresponder al inciso 4 a fin de que se genere la Solicitud de alta patrimonial correspondiente. La clasificación deberá coincidir con el criterio definido por la Dirección de Patrimonio.</w:t>
      </w:r>
    </w:p>
    <w:p>
      <w:pPr>
        <w:pStyle w:val="normal1"/>
        <w:spacing w:lineRule="auto" w:line="360"/>
        <w:jc w:val="both"/>
        <w:rPr>
          <w:rFonts w:ascii="Lato" w:hAnsi="Lato" w:eastAsia="Lato" w:cs="Lato"/>
          <w:b/>
          <w:bCs/>
          <w:i/>
          <w:i/>
          <w:iCs/>
        </w:rPr>
      </w:pPr>
      <w:r>
        <w:rPr>
          <w:rFonts w:eastAsia="Lato" w:cs="Lato" w:ascii="Lato" w:hAnsi="Lato"/>
          <w:b/>
          <w:bCs/>
          <w:i/>
          <w:iCs/>
        </w:rPr>
      </w:r>
    </w:p>
    <w:p>
      <w:pPr>
        <w:pStyle w:val="normal1"/>
        <w:spacing w:lineRule="auto" w:line="360" w:before="0" w:after="160"/>
        <w:jc w:val="center"/>
        <w:rPr>
          <w:rFonts w:ascii="Libre Franklin" w:hAnsi="Libre Franklin" w:eastAsia="Libre Franklin" w:cs="Libre Franklin"/>
        </w:rPr>
      </w:pPr>
      <w:r>
        <w:rPr/>
        <w:drawing>
          <wp:inline distT="0" distB="0" distL="0" distR="0">
            <wp:extent cx="5731510" cy="1625600"/>
            <wp:effectExtent l="0" t="0" r="0" b="0"/>
            <wp:docPr id="3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2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  <w:i/>
          <w:i/>
          <w:iCs/>
        </w:rPr>
      </w:pPr>
      <w:r>
        <w:rPr/>
        <w:drawing>
          <wp:inline distT="0" distB="0" distL="0" distR="0">
            <wp:extent cx="5731510" cy="2349500"/>
            <wp:effectExtent l="0" t="0" r="0" b="0"/>
            <wp:docPr id="4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4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  <w:i/>
          <w:i/>
          <w:iCs/>
        </w:rPr>
      </w:pPr>
      <w:r>
        <w:rPr>
          <w:rFonts w:eastAsia="Lato" w:cs="Lato" w:ascii="Lato" w:hAnsi="Lato"/>
          <w:i/>
          <w:iCs/>
        </w:rPr>
        <w:t>Los listados de áreas y ubicaciones provienen del módulo Patrimonio del SIU-Diaguita y no pueden ser editados por el usuario. La selección de un área no condiciona las opciones disponibles de ubicación física.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  <w:i/>
          <w:i/>
          <w:iCs/>
        </w:rPr>
      </w:pPr>
      <w:r>
        <w:rPr>
          <w:rFonts w:eastAsia="Lato" w:cs="Lato" w:ascii="Lato" w:hAnsi="Lato"/>
          <w:i/>
          <w:iCs/>
        </w:rPr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  <w:b/>
          <w:bCs/>
        </w:rPr>
      </w:pPr>
      <w:r>
        <w:rPr>
          <w:rFonts w:eastAsia="Lato" w:cs="Lato" w:ascii="Lato" w:hAnsi="Lato"/>
          <w:b/>
          <w:bCs/>
        </w:rPr>
        <w:t>Paso 2 – Verificación de los datos en el Relacionado de Gasto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  <w:b/>
          <w:bCs/>
        </w:rPr>
      </w:pPr>
      <w:r>
        <w:rPr>
          <w:rFonts w:eastAsia="Lato" w:cs="Lato" w:ascii="Lato" w:hAnsi="Lato"/>
        </w:rPr>
        <w:t xml:space="preserve">La información de área, ubicación y responsable se visualizará automáticamente dentro del </w:t>
      </w:r>
      <w:r>
        <w:rPr>
          <w:rFonts w:eastAsia="Lato" w:cs="Lato" w:ascii="Lato" w:hAnsi="Lato"/>
          <w:b/>
          <w:bCs/>
        </w:rPr>
        <w:t>Relacionado de Gasto</w:t>
      </w:r>
      <w:r>
        <w:rPr>
          <w:rFonts w:eastAsia="Lato" w:cs="Lato" w:ascii="Lato" w:hAnsi="Lato"/>
        </w:rPr>
        <w:t xml:space="preserve">, </w:t>
      </w:r>
      <w:r>
        <w:rPr>
          <w:rFonts w:eastAsia="Lato" w:cs="Lato" w:ascii="Lato" w:hAnsi="Lato"/>
          <w:b/>
          <w:bCs/>
        </w:rPr>
        <w:t xml:space="preserve">documento que —una vez firmado por la autoridad correspondiente— reemplaza el uso de la antigua </w:t>
      </w:r>
      <w:r>
        <w:rPr>
          <w:rFonts w:eastAsia="Lato" w:cs="Lato" w:ascii="Lato" w:hAnsi="Lato"/>
          <w:b/>
          <w:bCs/>
          <w:i/>
          <w:iCs/>
        </w:rPr>
        <w:t>Planilla Solicitud de Alta de Bienes</w:t>
      </w:r>
      <w:r>
        <w:rPr>
          <w:rFonts w:eastAsia="Lato" w:cs="Lato" w:ascii="Lato" w:hAnsi="Lato"/>
          <w:b/>
          <w:bCs/>
        </w:rPr>
        <w:t>.</w:t>
      </w:r>
    </w:p>
    <w:p>
      <w:pPr>
        <w:pStyle w:val="normal1"/>
        <w:spacing w:lineRule="auto" w:line="360" w:before="240" w:after="240"/>
        <w:jc w:val="center"/>
        <w:rPr>
          <w:rFonts w:ascii="Lato" w:hAnsi="Lato" w:eastAsia="Lato" w:cs="Lato"/>
          <w:b/>
          <w:bCs/>
        </w:rPr>
      </w:pPr>
      <w:r>
        <w:rPr/>
        <w:drawing>
          <wp:inline distT="0" distB="0" distL="0" distR="0">
            <wp:extent cx="5005705" cy="4117340"/>
            <wp:effectExtent l="0" t="0" r="0" b="0"/>
            <wp:docPr id="5" name="image5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705" cy="411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"/>
        <w:spacing w:lineRule="auto" w:line="360" w:before="240" w:after="240"/>
        <w:jc w:val="center"/>
        <w:rPr>
          <w:rFonts w:ascii="Lato" w:hAnsi="Lato" w:eastAsia="Lato" w:cs="Lato"/>
          <w:b/>
          <w:bCs/>
        </w:rPr>
      </w:pPr>
      <w:r>
        <w:rPr>
          <w:rFonts w:eastAsia="Lato" w:cs="Lato" w:ascii="Lato" w:hAnsi="Lato"/>
          <w:b/>
          <w:bCs/>
        </w:rPr>
      </w:r>
    </w:p>
    <w:p>
      <w:pPr>
        <w:pStyle w:val="Heading3"/>
        <w:keepNext w:val="false"/>
        <w:keepLines w:val="false"/>
        <w:numPr>
          <w:ilvl w:val="0"/>
          <w:numId w:val="2"/>
        </w:numPr>
        <w:spacing w:lineRule="auto" w:line="360" w:before="280" w:after="80"/>
        <w:ind w:hanging="360" w:left="720"/>
        <w:jc w:val="both"/>
        <w:rPr>
          <w:rFonts w:ascii="Lato" w:hAnsi="Lato" w:eastAsia="Lato" w:cs="Lato"/>
          <w:b/>
          <w:bCs/>
          <w:color w:val="000000"/>
          <w:sz w:val="22"/>
          <w:szCs w:val="22"/>
          <w:u w:val="none"/>
        </w:rPr>
      </w:pPr>
      <w:bookmarkStart w:id="1" w:name="_dkg1bki3u5ow"/>
      <w:bookmarkEnd w:id="1"/>
      <w:r>
        <w:rPr>
          <w:rFonts w:eastAsia="Lato" w:cs="Lato" w:ascii="Lato" w:hAnsi="Lato"/>
          <w:b/>
          <w:bCs/>
          <w:color w:val="000000"/>
          <w:sz w:val="22"/>
          <w:szCs w:val="22"/>
        </w:rPr>
        <w:t>Documentación que debe incluirse en el expediente</w:t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 xml:space="preserve">Al </w:t>
      </w:r>
      <w:r>
        <w:rPr>
          <w:rFonts w:eastAsia="Lato" w:cs="Lato" w:ascii="Lato" w:hAnsi="Lato"/>
          <w:u w:val="single"/>
        </w:rPr>
        <w:t>solicitar el pago o rendir los fondos</w:t>
      </w:r>
      <w:r>
        <w:rPr>
          <w:rFonts w:eastAsia="Lato" w:cs="Lato" w:ascii="Lato" w:hAnsi="Lato"/>
        </w:rPr>
        <w:t xml:space="preserve"> utilizados para la compra, la dependencia deberá incorporar al expediente:</w:t>
      </w:r>
    </w:p>
    <w:p>
      <w:pPr>
        <w:pStyle w:val="normal1"/>
        <w:numPr>
          <w:ilvl w:val="0"/>
          <w:numId w:val="3"/>
        </w:numPr>
        <w:spacing w:lineRule="auto" w:line="360" w:before="240" w:afterAutospacing="0" w:after="0"/>
        <w:ind w:hanging="360" w:left="720"/>
        <w:jc w:val="both"/>
        <w:rPr/>
      </w:pPr>
      <w:r>
        <w:rPr>
          <w:rFonts w:eastAsia="Lato" w:cs="Lato" w:ascii="Lato" w:hAnsi="Lato"/>
          <w:b/>
          <w:bCs/>
        </w:rPr>
        <w:t>Relacionado de Gasto emitido por JANO</w:t>
      </w:r>
      <w:r>
        <w:rPr>
          <w:rFonts w:eastAsia="Lato" w:cs="Lato" w:ascii="Lato" w:hAnsi="Lato"/>
        </w:rPr>
        <w:t>, en el que conste:</w:t>
      </w:r>
    </w:p>
    <w:p>
      <w:pPr>
        <w:pStyle w:val="normal1"/>
        <w:numPr>
          <w:ilvl w:val="1"/>
          <w:numId w:val="3"/>
        </w:numPr>
        <w:spacing w:lineRule="auto" w:line="360" w:beforeAutospacing="0" w:before="0" w:afterAutospacing="0" w:after="0"/>
        <w:ind w:hanging="360" w:left="14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>Ubicación física del bien.</w:t>
      </w:r>
    </w:p>
    <w:p>
      <w:pPr>
        <w:pStyle w:val="normal1"/>
        <w:numPr>
          <w:ilvl w:val="1"/>
          <w:numId w:val="3"/>
        </w:numPr>
        <w:spacing w:lineRule="auto" w:line="360" w:beforeAutospacing="0" w:before="0" w:afterAutospacing="0" w:after="0"/>
        <w:ind w:hanging="360" w:left="14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>Dependencia o área responsable.</w:t>
      </w:r>
    </w:p>
    <w:p>
      <w:pPr>
        <w:pStyle w:val="normal1"/>
        <w:numPr>
          <w:ilvl w:val="1"/>
          <w:numId w:val="3"/>
        </w:numPr>
        <w:spacing w:lineRule="auto" w:line="360" w:beforeAutospacing="0" w:before="0" w:afterAutospacing="0" w:after="0"/>
        <w:ind w:hanging="360" w:left="14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>Responsable de uso.</w:t>
      </w:r>
    </w:p>
    <w:p>
      <w:pPr>
        <w:pStyle w:val="normal1"/>
        <w:numPr>
          <w:ilvl w:val="1"/>
          <w:numId w:val="3"/>
        </w:numPr>
        <w:spacing w:lineRule="auto" w:line="360" w:beforeAutospacing="0" w:before="0" w:afterAutospacing="0" w:after="0"/>
        <w:ind w:hanging="360" w:left="14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>(En caso de mejoras) Número de inventario del bien al cual se incorpora la mejora.</w:t>
      </w:r>
    </w:p>
    <w:p>
      <w:pPr>
        <w:pStyle w:val="normal1"/>
        <w:numPr>
          <w:ilvl w:val="0"/>
          <w:numId w:val="0"/>
        </w:numPr>
        <w:spacing w:lineRule="auto" w:line="360" w:beforeAutospacing="0" w:before="0" w:afterAutospacing="0" w:after="0"/>
        <w:ind w:hanging="0" w:left="14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</w:r>
    </w:p>
    <w:p>
      <w:pPr>
        <w:pStyle w:val="normal1"/>
        <w:numPr>
          <w:ilvl w:val="0"/>
          <w:numId w:val="3"/>
        </w:numPr>
        <w:spacing w:lineRule="auto" w:line="360" w:beforeAutospacing="0" w:before="0" w:afterAutospacing="0" w:after="0"/>
        <w:ind w:hanging="360" w:left="720"/>
        <w:jc w:val="both"/>
        <w:rPr/>
      </w:pPr>
      <w:r>
        <w:rPr>
          <w:rFonts w:eastAsia="Lato" w:cs="Lato" w:ascii="Lato" w:hAnsi="Lato"/>
          <w:b/>
          <w:bCs/>
        </w:rPr>
        <w:t>Comprobante de compra</w:t>
      </w:r>
      <w:r>
        <w:rPr>
          <w:rFonts w:eastAsia="Lato" w:cs="Lato" w:ascii="Lato" w:hAnsi="Lato"/>
        </w:rPr>
        <w:t xml:space="preserve"> del bien.</w:t>
      </w:r>
    </w:p>
    <w:p>
      <w:pPr>
        <w:pStyle w:val="normal1"/>
        <w:numPr>
          <w:ilvl w:val="1"/>
          <w:numId w:val="3"/>
        </w:numPr>
        <w:spacing w:lineRule="auto" w:line="360" w:beforeAutospacing="0" w:before="0" w:afterAutospacing="0" w:after="0"/>
        <w:ind w:hanging="360" w:left="144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  <w:t>Si el comprobante no incluye una descripción suficiente, deberá completarse con los datos necesarios (tipo, marca, modelo, número de serie, etc.).</w:t>
      </w:r>
    </w:p>
    <w:p>
      <w:pPr>
        <w:pStyle w:val="normal1"/>
        <w:numPr>
          <w:ilvl w:val="0"/>
          <w:numId w:val="3"/>
        </w:numPr>
        <w:spacing w:lineRule="auto" w:line="360" w:beforeAutospacing="0" w:before="0" w:afterAutospacing="0" w:after="0"/>
        <w:ind w:hanging="360" w:left="720"/>
        <w:jc w:val="both"/>
        <w:rPr/>
      </w:pPr>
      <w:r>
        <w:rPr>
          <w:rFonts w:eastAsia="Lato" w:cs="Lato" w:ascii="Lato" w:hAnsi="Lato"/>
          <w:b/>
          <w:bCs/>
        </w:rPr>
        <w:t>Acta de recepción provisoria</w:t>
      </w:r>
      <w:r>
        <w:rPr>
          <w:rFonts w:eastAsia="Lato" w:cs="Lato" w:ascii="Lato" w:hAnsi="Lato"/>
        </w:rPr>
        <w:t>, si la compra se gestionó mediante un procedimiento de Compras.</w:t>
      </w:r>
    </w:p>
    <w:p>
      <w:pPr>
        <w:pStyle w:val="normal1"/>
        <w:numPr>
          <w:ilvl w:val="0"/>
          <w:numId w:val="3"/>
        </w:numPr>
        <w:spacing w:lineRule="auto" w:line="360" w:beforeAutospacing="0" w:before="0" w:afterAutospacing="0" w:after="0"/>
        <w:ind w:hanging="360" w:left="720"/>
        <w:jc w:val="both"/>
        <w:rPr/>
      </w:pPr>
      <w:r>
        <w:rPr>
          <w:rFonts w:eastAsia="Lato" w:cs="Lato" w:ascii="Lato" w:hAnsi="Lato"/>
          <w:b/>
          <w:bCs/>
        </w:rPr>
        <w:t>Garantía de Pago Anticipado</w:t>
      </w:r>
      <w:r>
        <w:rPr>
          <w:rFonts w:eastAsia="Lato" w:cs="Lato" w:ascii="Lato" w:hAnsi="Lato"/>
        </w:rPr>
        <w:t>, cuando el pago se realice antes de la entrega, por un monto equivalente al 100 % del valor de la factura.</w:t>
      </w:r>
    </w:p>
    <w:p>
      <w:pPr>
        <w:pStyle w:val="normal1"/>
        <w:numPr>
          <w:ilvl w:val="0"/>
          <w:numId w:val="0"/>
        </w:numPr>
        <w:spacing w:lineRule="auto" w:line="360" w:beforeAutospacing="0" w:before="0" w:afterAutospacing="0" w:after="0"/>
        <w:ind w:hanging="0" w:left="720"/>
        <w:jc w:val="both"/>
        <w:rPr>
          <w:rFonts w:ascii="Lato" w:hAnsi="Lato" w:eastAsia="Lato" w:cs="Lato"/>
        </w:rPr>
      </w:pPr>
      <w:r>
        <w:rPr>
          <w:rFonts w:eastAsia="Lato" w:cs="Lato" w:ascii="Lato" w:hAnsi="Lato"/>
        </w:rPr>
      </w:r>
    </w:p>
    <w:p>
      <w:pPr>
        <w:pStyle w:val="normal1"/>
        <w:numPr>
          <w:ilvl w:val="0"/>
          <w:numId w:val="2"/>
        </w:numPr>
        <w:spacing w:lineRule="auto" w:line="360" w:beforeAutospacing="0" w:before="0" w:after="240"/>
        <w:ind w:hanging="360" w:left="720"/>
        <w:jc w:val="both"/>
        <w:rPr>
          <w:rFonts w:ascii="Lato" w:hAnsi="Lato" w:eastAsia="Lato" w:cs="Lato"/>
          <w:u w:val="none"/>
        </w:rPr>
      </w:pPr>
      <w:r>
        <w:rPr>
          <w:rFonts w:eastAsia="Lato" w:cs="Lato" w:ascii="Lato" w:hAnsi="Lato"/>
        </w:rPr>
        <w:t xml:space="preserve">Las actuaciones deben estar </w:t>
      </w:r>
      <w:r>
        <w:rPr>
          <w:rFonts w:eastAsia="Lato" w:cs="Lato" w:ascii="Lato" w:hAnsi="Lato"/>
          <w:b/>
          <w:bCs/>
        </w:rPr>
        <w:t>autorizadas y firmadas por la máxima autoridad de la dependencia.</w:t>
      </w:r>
    </w:p>
    <w:p>
      <w:pPr>
        <w:pStyle w:val="normal1"/>
        <w:numPr>
          <w:ilvl w:val="0"/>
          <w:numId w:val="0"/>
        </w:numPr>
        <w:spacing w:lineRule="auto" w:line="360" w:beforeAutospacing="0" w:before="0" w:after="240"/>
        <w:ind w:hanging="0" w:left="720"/>
        <w:jc w:val="both"/>
        <w:rPr>
          <w:rFonts w:ascii="Lato" w:hAnsi="Lato" w:eastAsia="Lato" w:cs="Lato"/>
          <w:u w:val="none"/>
        </w:rPr>
      </w:pPr>
      <w:r>
        <w:rPr>
          <w:rFonts w:eastAsia="Lato" w:cs="Lato" w:ascii="Lato" w:hAnsi="Lato"/>
          <w:b/>
          <w:bCs/>
          <w:u w:val="none"/>
        </w:rPr>
      </w:r>
    </w:p>
    <w:p>
      <w:pPr>
        <w:pStyle w:val="normal1"/>
        <w:spacing w:lineRule="auto" w:line="360" w:before="240" w:after="240"/>
        <w:jc w:val="both"/>
        <w:rPr>
          <w:rFonts w:ascii="Lato" w:hAnsi="Lato" w:eastAsia="Lato" w:cs="Lato"/>
          <w:b/>
          <w:bCs/>
          <w:sz w:val="24"/>
          <w:szCs w:val="24"/>
        </w:rPr>
      </w:pPr>
      <w:r>
        <w:rPr>
          <w:rFonts w:eastAsia="Lato" w:cs="Lato" w:ascii="Lato" w:hAnsi="Lato"/>
          <w:b/>
          <w:bCs/>
        </w:rPr>
        <w:t xml:space="preserve">IMPORTANTE: </w:t>
      </w:r>
      <w:r>
        <w:rPr>
          <w:rFonts w:eastAsia="Lato" w:cs="Lato" w:ascii="Lato" w:hAnsi="Lato"/>
        </w:rPr>
        <w:t>Cuando los bienes inventariables sean adquiridos por dependencias distintas de las que los van a incorporar al patrimonio, deberán adjuntar al expediente de pago una nota firmada por la máxima autoridad de la dependencia correspondiente al área responsable (</w:t>
      </w:r>
      <w:r>
        <w:rPr>
          <w:rFonts w:eastAsia="Lato" w:cs="Lato" w:ascii="Lato" w:hAnsi="Lato"/>
          <w:i/>
          <w:iCs/>
        </w:rPr>
        <w:t>ver nota modelo</w:t>
      </w:r>
      <w:r>
        <w:rPr>
          <w:rFonts w:eastAsia="Lato" w:cs="Lato" w:ascii="Lato" w:hAnsi="Lato"/>
        </w:rPr>
        <w:t>).</w:t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rial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Liberation Sans">
    <w:altName w:val="Arial"/>
    <w:charset w:val="01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Lato">
    <w:charset w:val="01"/>
    <w:family w:val="roman"/>
    <w:pitch w:val="variable"/>
    <w:embedRegular r:id="rId21" w:fontKey="{15014A78-CABC-4EF0-12AC-5CD89AEFDE15}"/>
    <w:embedBold r:id="rId22" w:fontKey="{16014A78-CABC-4EF0-12AC-5CD89AEFDE16}"/>
    <w:embedItalic r:id="rId23" w:fontKey="{17014A78-CABC-4EF0-12AC-5CD89AEFDE17}"/>
    <w:embedBoldItalic r:id="rId24" w:fontKey="{18014A78-CABC-4EF0-12AC-5CD89AEFDE18}"/>
  </w:font>
  <w:font w:name="Libre Franklin">
    <w:charset w:val="01"/>
    <w:family w:val="roman"/>
    <w:pitch w:val="variable"/>
    <w:embedRegular r:id="rId25" w:fontKey="{19014A78-CABC-4EF0-12AC-5CD89AEFDE19}"/>
    <w:embedBold r:id="rId26" w:fontKey="{1A014A78-CABC-4EF0-12AC-5CD89AEFDE1A}"/>
    <w:embedItalic r:id="rId27" w:fontKey="{1B014A78-CABC-4EF0-12AC-5CD89AEFDE1B}"/>
    <w:embedBoldItalic r:id="rId28" w:fontKey="{1C014A78-CABC-4EF0-12AC-5CD89AEFDE1C}"/>
  </w:font>
  <w:font w:name="Calibri">
    <w:charset w:val="01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  <w:embedRegular r:id="rId29" w:fontKey="{1D014A78-CABC-4EF0-12AC-5CD89AEFDE1D}"/>
    <w:embedBold r:id="rId30" w:fontKey="{1E014A78-CABC-4EF0-12AC-5CD89AEFDE1E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<Relationship Id="rId28" Type="http://schemas.openxmlformats.org/officeDocument/2006/relationships/font" Target="fonts/font28.odttf"/><Relationship Id="rId29" Type="http://schemas.openxmlformats.org/officeDocument/2006/relationships/font" Target="fonts/font29.odttf"/><Relationship Id="rId30" Type="http://schemas.openxmlformats.org/officeDocument/2006/relationships/font" Target="fonts/font30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LibreOffice/25.2.5.2$Linux_X86_64 LibreOffice_project/520$Build-2</Application>
  <AppVersion>15.0000</AppVersion>
  <Pages>4</Pages>
  <Words>525</Words>
  <Characters>2847</Characters>
  <CharactersWithSpaces>3332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es-AR</dc:language>
  <cp:lastModifiedBy/>
  <dcterms:modified xsi:type="dcterms:W3CDTF">2026-09-03T09:54:08Z</dcterms:modified>
  <cp:revision>1</cp:revision>
  <dc:subject/>
  <dc:title/>
</cp:coreProperties>
</file>